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4d3c2e32ac4467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43095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SREDNJA STRUKOVNA ŠKOLA KRALJA ZVONIMIRA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1.596.736,36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1.775.901,26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1.590.082,14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1.940.741,65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164.840,39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14.251,21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7.418,11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14.251,21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7.418,11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7.596,99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172.258,50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2267,5</w:t>
            </w:r>
          </w:p>
        </w:tc>
      </w:tr>
    </w:tbl>
    <w:p>
      <w:pPr>
        <w:spacing w:before="0" w:after="0"/>
      </w:pPr>
    </w:p>
    <w:p>
      <w:r>
        <w:t xml:space="preserve">Manjak prihoda i primitaka u izvještajnom razdoblju je ostvaren u iznosu od 172.258,50 iz razloga što su ukupni prihodi poslovanja 1.775.901,26 a ukupni rashodi poslovanja 1.940.741,65 što znači da razliku čini iznos od 164.840,39. Od siječnja 2025. godine ne koristimo više konto 193 rashodi budućih razdoblja, pa je iz tog razloga iznos rashoda značajno iznad iznosa prihoda, odnosno naša institucija ima ostvaren manjak prihoda i primitaka. Na iznos od 164.840,39 se dodaje iznos od 7.418,11 iz razloga što rashod za nabavu nefinancijske imovine nema ostvaren pripadajući prihod skupine 7, te ukupan manjak prihoda i primitaka iznosi 172.258,50.</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1.411.691,17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1.548.175,63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bl>
    <w:p>
      <w:pPr>
        <w:spacing w:before="0" w:after="0"/>
      </w:pPr>
    </w:p>
    <w:p>
      <w:r>
        <w:t xml:space="preserve">Pomoći iz proračuna čine sredstva za isplatu plaća, materijalnih prava, higijenskih potrepština i ostalo. U izvještajnom razdoblju je veći iznos u odnosu na prošlogodišnje razdoblje iz razloga što je došlo do povećanja osnovice u odnosu na 2024. godinu te je veći broj isplaćenih materijalnih prava u odnosu na prošlogodišnje razdoblje.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232,2</w:t>
            </w:r>
          </w:p>
        </w:tc>
      </w:tr>
    </w:tbl>
    <w:p>
      <w:pPr>
        <w:spacing w:before="0" w:after="0"/>
      </w:pPr>
    </w:p>
    <w:p>
      <w:r>
        <w:t xml:space="preserve">Ostali nespomenuti prihodi se odnose na prihode ostvarene za pojačane učeničke troškove, te prihodi za provedbu maturalne zabave. U ovogodišnjem razdoblju je iznos troškova bio manji te je i prihod potreban za pokriće ostvaren u manjem iznosu.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1.590.082,14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1.940.741,65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122,1</w:t>
            </w:r>
          </w:p>
        </w:tc>
      </w:tr>
    </w:tbl>
    <w:p>
      <w:pPr>
        <w:spacing w:before="0" w:after="0"/>
      </w:pPr>
    </w:p>
    <w:p>
      <w:r>
        <w:t xml:space="preserve">Iznosi rashoda su u 2025. godini veći iz razloga što su iznosi troškova plaće veći, ali isto tako su cijene dobavljača porasle za materijalne rashode i rashodi za usluge u odnosu na 2024. godinu.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52.096,98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1773,9</w:t>
            </w:r>
          </w:p>
        </w:tc>
      </w:tr>
    </w:tbl>
    <w:p>
      <w:pPr>
        <w:spacing w:before="0" w:after="0"/>
      </w:pPr>
    </w:p>
    <w:p>
      <w:r>
        <w:t xml:space="preserve">Iznosi troškova za službena putovanja su značajno porasli u odnosu na 2024. godinu iz razloga što su učenici bili u Njemačkoj kroz realizaciju Erasmus projekta i to u iznosu od čak  46.472,83.</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20.457,19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41.939,67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w:t>
            </w:r>
          </w:p>
        </w:tc>
      </w:tr>
    </w:tbl>
    <w:p>
      <w:pPr>
        <w:spacing w:before="0" w:after="0"/>
      </w:pPr>
    </w:p>
    <w:p>
      <w:r>
        <w:t xml:space="preserve">Usluge tekućeg i investicijskog održavanja su također značajno veće nego u 2024. godini iz razloga što je putem operativnog dijela sredstava plaćena sanacija učeničkog toaleta u iznosu od  32.724,39.</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459,0</w:t>
            </w:r>
          </w:p>
        </w:tc>
      </w:tr>
    </w:tbl>
    <w:p>
      <w:pPr>
        <w:spacing w:before="0" w:after="0"/>
      </w:pPr>
    </w:p>
    <w:p>
      <w:r>
        <w:t xml:space="preserve">Zdravstvene i veterinarske usluge su značajno veće jer je iznos obveznih sistematskih pregleda u poejdinačnom iznosu značajno porastao u odnosu na 2024. godinu.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206,2</w:t>
            </w:r>
          </w:p>
        </w:tc>
      </w:tr>
    </w:tbl>
    <w:p>
      <w:pPr>
        <w:spacing w:before="0" w:after="0"/>
      </w:pPr>
    </w:p>
    <w:p>
      <w:r>
        <w:t xml:space="preserve">Iznos troška reprezentacije je u 2025. godini značajno veći iz razloga što smo tijekom nastavne godine organizirali dva svečana domjenka, jedan za kraj nastavne godine 2024./2025. a drugi pred kraj prvog polugodišta nastavne godine 2025./2026.</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175.784,37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Obračunate prihode poslovanja čini iznos plaće za prosinac kojem će se knjižiti priznavanje u siječnju 2026. godine.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155.400,71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čini razliku ukupnih prihoda i ukupnih rashoda, uvećano za iznos rashoda za nabavu dugotrajne imovine. Od tog ukupnog iznosa se odbija višak prihoda i primitaka preneseni iz 2024. godine koji je iznosio 16.857,79 što onda u konačnici čini rezultat manjka prihoda i primitaka u izvještajnom razdoblju u iznosu od 155.400,71 €.</w:t>
      </w:r>
      <w:r>
        <w:br/>
      </w:r>
      <w:r>
        <w:t xml:space="preserv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175.784,37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pomoći iz inozemstva i od subjekata unutar općeg proračuna iznose 129.799,76 za iznos plaća, te  45.984,61 za iznos nastalih troškova putem realizacije Erasmus projekta u 2025. godini za kojeg još nismo ostavrili prihod.</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155.400,71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čini razliku ukupnih prihoda i ukupnih rashoda, uvećano za iznos rashoda za nabavu dugotrajne imovine. Od tog ukupnog iznosa se odbija višak prihoda i primitaka preneseni iz 2024. godine koji je iznosio 16.857,79 što onda u konačnici čini rezultat manjka prihoda i primitaka u izvještajnom razdoblju u iznosu od 155.400,71 €.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175.784,37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Obračunati prihodi poslovanja iznose 129.799,76 za iznos plaća, te  45.984,61 za iznos nastalih troškova putem realizacije Erasmus projekta u 2025. godini za kojeg još nismo ostavrili prihod.</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Dana 7.7.2025. je digitalno potpisan Ugovor između ravnatelja škole i Agencije za provedbu Erasmus projekta te je samim tim izvršeno knjiženje na konto 99171001  potraživanja po Ugovoru za cjelokupan iznos projekta po nazivu Erasmus +; Strukovne vještine kroz praksu.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Dana 7.7.2025. je digitalno potpisan Ugovor između ravnatelja škole i Agencije za provedbu Erasmus projekta te je samim tim izvršeno knjiženje na konto 99671001 potraživanja po Ugovoru za cjelokupan iznos projekta po nazivu Erasmus +; Strukovne vještine kroz praksu.</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 srednjoškolsko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1.604.333,35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1.948.159,76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w:t>
            </w:r>
          </w:p>
        </w:tc>
      </w:tr>
    </w:tbl>
    <w:p>
      <w:pPr>
        <w:spacing w:before="0" w:after="0"/>
      </w:pPr>
    </w:p>
    <w:p>
      <w:r>
        <w:t xml:space="preserve">Ukupan iznos rashoda uvećan za iznos nabave nefinancijske imovine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62.839,81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knjiženja ispravka vrijednosti imovine u 2025. godini</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132.469,74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stanja obveza na dan 31.12.2024. godine koja su podmirena kroz siječanj 2025. godine.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189.029,08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obveza koja se odnose na plaću zaposlenika za mjesec prosinac, zatim redovni rashodi iz prosinca koji će biti podmireni kroz siječanj 2026. godine. Također se odnosi i na iznos obveze za predujam po Erasmus projektu u iznosu od 47.900,00.</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obveza koja se odnose na plaću zaposlenika za mjesec prosinac, zatim redovni rashodi iz prosinca koji će biti podmireni kroz siječanj 2026. godine. Također se odnosi i na iznos obveze za predujam po Erasmus projektu u iznosu od 47.900,00.</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189.029,08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obveza koja se odnose na plaću zaposlenika za mjesec prosinac, zatim redovni rashodi iz prosinca koji će biti podmireni kroz siječanj 2026. godine. Također se odnosi i na iznos obveze za predujam po Erasmus projektu u iznosu od 47.900,00.</w:t>
      </w:r>
    </w:p>
    <w:p/>
    <w:p>
      <w:pPr>
        <w:jc w:val="center"/>
        <w:pStyle w:val="Normal"/>
        <w:spacing w:line="240" w:lineRule="auto"/>
        <w:keepNext/>
      </w:pPr>
      <w:r>
        <w:rPr>
          <w:sz w:val="28"/>
          <w:rFonts w:ascii="Times New Roman" w:hAnsi="Times New Roman"/>
        </w:rPr>
        <w:t xml:space="preserve">Bilješka 22.</w:t>
      </w:r>
    </w:p>
    <w:p>
      <w:pPr>
        <w:jc w:val="both"/>
        <w:pStyle w:val="Normal"/>
        <w:spacing w:line="240" w:lineRule="auto"/>
      </w:pPr>
      <w:r>
        <w:rPr>
          <w:b/>
          <w:sz w:val="24"/>
          <w:rFonts w:ascii="Times New Roman" w:hAnsi="Times New Roman"/>
        </w:rPr>
        <w:t xml:space="preserve">EU izvještaj</w:t>
      </w:r>
    </w:p>
    <w:p>
      <w:r>
        <w:t xml:space="preserve"> Potraživanja po ugovorima o dodijeljenim bespovratnim sredstvima iz EU fondova iznose 59.875,00. Sredstva po projektu u 2025. godini su isplaćena u iznosu od 47.900,00, što znači da imamo još zaprimiti sredstava u iznosu od 11.975,00. Rashodi skupine 3 u 2025. godini iznose 48.476,43.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cd3992dbf7243b8" /></Relationships>
</file>