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35" w:rsidRDefault="00AD4924">
      <w:r>
        <w:tab/>
      </w:r>
    </w:p>
    <w:tbl>
      <w:tblPr>
        <w:tblpPr w:leftFromText="180" w:rightFromText="180" w:vertAnchor="page" w:horzAnchor="margin" w:tblpY="3829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283"/>
        <w:gridCol w:w="8505"/>
      </w:tblGrid>
      <w:tr w:rsidR="00E10F35">
        <w:trPr>
          <w:trHeight w:val="968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0F35" w:rsidRDefault="00E10F35">
            <w:pPr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  <w:p w:rsidR="00E10F35" w:rsidRDefault="00AD49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SREDNJA STRUKOVNA ŠKOLA KRALJA ZVONIMIRA</w:t>
            </w:r>
          </w:p>
          <w:p w:rsidR="00E10F35" w:rsidRDefault="00AD49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ZDRAVKA IKICE 30</w:t>
            </w:r>
          </w:p>
          <w:p w:rsidR="00E10F35" w:rsidRDefault="00AD49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22300 KNIN</w:t>
            </w:r>
          </w:p>
          <w:p w:rsidR="00E10F35" w:rsidRDefault="00AD49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T: 022/660-000</w:t>
            </w:r>
          </w:p>
          <w:p w:rsidR="00E10F35" w:rsidRDefault="00AD49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E: </w:t>
            </w:r>
            <w:hyperlink r:id="rId8" w:history="1">
              <w:r>
                <w:rPr>
                  <w:rStyle w:val="Hiperveza"/>
                  <w:b/>
                  <w:sz w:val="20"/>
                </w:rPr>
                <w:t>ured@ss-strukovna-kralja-zvonimira-kn.skole.hr</w:t>
              </w:r>
            </w:hyperlink>
          </w:p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  <w:p w:rsidR="00E10F35" w:rsidRDefault="00AD4924">
            <w:pPr>
              <w:rPr>
                <w:b/>
                <w:szCs w:val="24"/>
              </w:rPr>
            </w:pPr>
            <w:r>
              <w:rPr>
                <w:szCs w:val="24"/>
              </w:rPr>
              <w:t>Srednja strukovna škola kralja Zvonimira je škola koja pruža  obrazovanje učenicima od prvoga do četvrtog razreda srednje škole. Nastava je organizirana od 08.00-14.00 sati u petodnevnom radnom tjednu. Nakon redovne nastave održava se izborna i dopunska na</w:t>
            </w:r>
            <w:r>
              <w:rPr>
                <w:szCs w:val="24"/>
              </w:rPr>
              <w:t>stava, izvannastavne aktivnosti, sjednice stručnih, razrednih i nastavničkih vijeća.</w:t>
            </w:r>
          </w:p>
          <w:p w:rsidR="00E10F35" w:rsidRDefault="00AD4924">
            <w:pPr>
              <w:rPr>
                <w:szCs w:val="24"/>
              </w:rPr>
            </w:pPr>
            <w:r>
              <w:rPr>
                <w:szCs w:val="24"/>
              </w:rPr>
              <w:t>Redovna, izborna, dodatna i dopunska nastava izvodi se prema nastavnim planovima i programima koje je donijelo Ministarstvo znanosti, obrazovanja i sporta, prema Godišnjem</w:t>
            </w:r>
            <w:r>
              <w:rPr>
                <w:szCs w:val="24"/>
              </w:rPr>
              <w:t xml:space="preserve"> planu i programu i Školskom kurikulumu za školsku godinu 2024./2025.</w:t>
            </w:r>
          </w:p>
          <w:p w:rsidR="00E10F35" w:rsidRDefault="00AD4924">
            <w:pPr>
              <w:rPr>
                <w:szCs w:val="24"/>
              </w:rPr>
            </w:pPr>
            <w:r>
              <w:rPr>
                <w:szCs w:val="24"/>
              </w:rPr>
              <w:t>Školu polazi 234 učenika u 16 razrednih odjeljenja. Planiramo da se broj učenika i razrednih odjeljenja neće mijenjati narednih godina, a to će ovisiti o broju upisanih učenika u 1.razre</w:t>
            </w:r>
            <w:r>
              <w:rPr>
                <w:szCs w:val="24"/>
              </w:rPr>
              <w:t>d.</w:t>
            </w:r>
          </w:p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  <w:p w:rsidR="00E10F35" w:rsidRDefault="00AD4924">
            <w:pPr>
              <w:rPr>
                <w:szCs w:val="24"/>
              </w:rPr>
            </w:pPr>
            <w:r>
              <w:rPr>
                <w:szCs w:val="24"/>
              </w:rPr>
              <w:t>Planirani ukupni prihodi i rashodi za 2025. godinu, te izmjene nastale rebalansom su prikazane u tablici.</w:t>
            </w:r>
          </w:p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rPr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69"/>
              <w:gridCol w:w="1712"/>
              <w:gridCol w:w="1705"/>
              <w:gridCol w:w="1309"/>
              <w:gridCol w:w="1584"/>
            </w:tblGrid>
            <w:tr w:rsidR="00E10F35">
              <w:tc>
                <w:tcPr>
                  <w:tcW w:w="1969" w:type="dxa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Oznaka i naziv</w:t>
                  </w:r>
                </w:p>
              </w:tc>
              <w:tc>
                <w:tcPr>
                  <w:tcW w:w="1712" w:type="dxa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Plan za 2025. godinu</w:t>
                  </w:r>
                </w:p>
              </w:tc>
              <w:tc>
                <w:tcPr>
                  <w:tcW w:w="1705" w:type="dxa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Rebalans I.</w:t>
                  </w:r>
                </w:p>
              </w:tc>
              <w:tc>
                <w:tcPr>
                  <w:tcW w:w="1309" w:type="dxa"/>
                  <w:tcBorders>
                    <w:bottom w:val="single" w:sz="4" w:space="0" w:color="auto"/>
                  </w:tcBorders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Rebalans II.</w:t>
                  </w: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Novi plan za 2025. godinu</w:t>
                  </w:r>
                </w:p>
              </w:tc>
            </w:tr>
            <w:tr w:rsidR="00E10F35">
              <w:tc>
                <w:tcPr>
                  <w:tcW w:w="1969" w:type="dxa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Prihodi</w:t>
                  </w:r>
                </w:p>
              </w:tc>
              <w:tc>
                <w:tcPr>
                  <w:tcW w:w="1712" w:type="dxa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1 664 061,00</w:t>
                  </w:r>
                </w:p>
              </w:tc>
              <w:tc>
                <w:tcPr>
                  <w:tcW w:w="1705" w:type="dxa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26 813,00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301 516,00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1 992 390,00</w:t>
                  </w:r>
                </w:p>
              </w:tc>
            </w:tr>
            <w:tr w:rsidR="00E10F35">
              <w:tc>
                <w:tcPr>
                  <w:tcW w:w="1969" w:type="dxa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Rashodi</w:t>
                  </w:r>
                </w:p>
              </w:tc>
              <w:tc>
                <w:tcPr>
                  <w:tcW w:w="1712" w:type="dxa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1 675 778,00</w:t>
                  </w:r>
                </w:p>
              </w:tc>
              <w:tc>
                <w:tcPr>
                  <w:tcW w:w="1705" w:type="dxa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26 813,00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</w:tcBorders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301 516,00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</w:tcBorders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2 004 107,00</w:t>
                  </w:r>
                </w:p>
              </w:tc>
            </w:tr>
            <w:tr w:rsidR="00E10F35">
              <w:tc>
                <w:tcPr>
                  <w:tcW w:w="1969" w:type="dxa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Višak/Manjak</w:t>
                  </w:r>
                </w:p>
              </w:tc>
              <w:tc>
                <w:tcPr>
                  <w:tcW w:w="1712" w:type="dxa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11 717,00,00</w:t>
                  </w:r>
                </w:p>
              </w:tc>
              <w:tc>
                <w:tcPr>
                  <w:tcW w:w="1705" w:type="dxa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0,00</w:t>
                  </w:r>
                </w:p>
              </w:tc>
              <w:tc>
                <w:tcPr>
                  <w:tcW w:w="1309" w:type="dxa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0,00</w:t>
                  </w:r>
                </w:p>
              </w:tc>
              <w:tc>
                <w:tcPr>
                  <w:tcW w:w="1584" w:type="dxa"/>
                </w:tcPr>
                <w:p w:rsidR="00E10F35" w:rsidRDefault="00AD4924" w:rsidP="00344120">
                  <w:pPr>
                    <w:framePr w:hSpace="180" w:wrap="around" w:vAnchor="page" w:hAnchor="margin" w:y="3829"/>
                    <w:spacing w:after="160" w:line="259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11 717,00</w:t>
                  </w:r>
                </w:p>
              </w:tc>
            </w:tr>
          </w:tbl>
          <w:p w:rsidR="00E10F35" w:rsidRDefault="00E10F35">
            <w:pPr>
              <w:rPr>
                <w:sz w:val="20"/>
              </w:rPr>
            </w:pPr>
          </w:p>
        </w:tc>
      </w:tr>
    </w:tbl>
    <w:tbl>
      <w:tblPr>
        <w:tblStyle w:val="Reetkatablice1"/>
        <w:tblpPr w:leftFromText="180" w:rightFromText="180" w:vertAnchor="page" w:horzAnchor="page" w:tblpX="781" w:tblpY="541"/>
        <w:tblW w:w="10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2"/>
        <w:gridCol w:w="1751"/>
      </w:tblGrid>
      <w:tr w:rsidR="00E10F35">
        <w:trPr>
          <w:trHeight w:val="1990"/>
        </w:trPr>
        <w:tc>
          <w:tcPr>
            <w:tcW w:w="6135" w:type="dxa"/>
          </w:tcPr>
          <w:tbl>
            <w:tblPr>
              <w:tblStyle w:val="Reetkatablice"/>
              <w:tblpPr w:leftFromText="180" w:rightFromText="180" w:vertAnchor="page" w:horzAnchor="page" w:tblpX="2113" w:tblpY="1"/>
              <w:tblOverlap w:val="never"/>
              <w:tblW w:w="82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8"/>
              <w:gridCol w:w="3328"/>
            </w:tblGrid>
            <w:tr w:rsidR="00E10F35">
              <w:trPr>
                <w:trHeight w:val="492"/>
              </w:trPr>
              <w:tc>
                <w:tcPr>
                  <w:tcW w:w="4958" w:type="dxa"/>
                </w:tcPr>
                <w:p w:rsidR="00E10F35" w:rsidRDefault="00AD4924">
                  <w:pPr>
                    <w:spacing w:after="160" w:line="259" w:lineRule="auto"/>
                    <w:rPr>
                      <w:rFonts w:eastAsiaTheme="minorHAnsi"/>
                      <w:sz w:val="22"/>
                    </w:rPr>
                  </w:pPr>
                  <w:r>
                    <w:rPr>
                      <w:rFonts w:eastAsiaTheme="minorHAnsi"/>
                      <w:sz w:val="22"/>
                    </w:rPr>
                    <w:t>Srednja strukovna škola kralja Zvonimira                                                                  Ikičina 30, 22300  Knin</w:t>
                  </w:r>
                </w:p>
                <w:p w:rsidR="00E10F35" w:rsidRDefault="00AD4924">
                  <w:pPr>
                    <w:spacing w:after="160" w:line="259" w:lineRule="auto"/>
                    <w:rPr>
                      <w:rFonts w:eastAsiaTheme="minorHAnsi"/>
                      <w:sz w:val="22"/>
                    </w:rPr>
                  </w:pPr>
                  <w:r>
                    <w:rPr>
                      <w:rFonts w:eastAsiaTheme="minorHAnsi"/>
                      <w:sz w:val="22"/>
                    </w:rPr>
                    <w:t xml:space="preserve">                                                                                                    KLASA:</w:t>
                  </w:r>
                  <w:r>
                    <w:rPr>
                      <w:noProof/>
                      <w:lang w:val="en-US"/>
                    </w:rPr>
                    <w:t>400-04/25-01/4</w:t>
                  </w:r>
                  <w:r>
                    <w:rPr>
                      <w:rFonts w:eastAsiaTheme="minorHAnsi"/>
                      <w:sz w:val="22"/>
                    </w:rPr>
                    <w:t xml:space="preserve">                                                                                                                                        </w:t>
                  </w:r>
                  <w:r>
                    <w:rPr>
                      <w:rFonts w:eastAsiaTheme="minorHAnsi"/>
                      <w:sz w:val="22"/>
                    </w:rPr>
                    <w:t>URBROJ:</w:t>
                  </w:r>
                  <w:r>
                    <w:rPr>
                      <w:rFonts w:eastAsiaTheme="minorHAnsi"/>
                      <w:noProof/>
                      <w:sz w:val="22"/>
                    </w:rPr>
                    <w:t>2182-50-25-1</w:t>
                  </w:r>
                  <w:r>
                    <w:rPr>
                      <w:rFonts w:eastAsiaTheme="minorHAnsi"/>
                      <w:sz w:val="22"/>
                    </w:rPr>
                    <w:t xml:space="preserve">                                                                                                          Knin, 26.09.2025.   </w:t>
                  </w:r>
                </w:p>
                <w:p w:rsidR="00E10F35" w:rsidRDefault="00E10F35">
                  <w:pPr>
                    <w:spacing w:after="160" w:line="259" w:lineRule="auto"/>
                    <w:rPr>
                      <w:rFonts w:eastAsiaTheme="minorHAnsi"/>
                      <w:sz w:val="22"/>
                    </w:rPr>
                  </w:pPr>
                </w:p>
                <w:p w:rsidR="00E10F35" w:rsidRDefault="00E10F35">
                  <w:pPr>
                    <w:spacing w:after="160" w:line="259" w:lineRule="auto"/>
                    <w:rPr>
                      <w:rFonts w:eastAsiaTheme="minorHAnsi"/>
                      <w:sz w:val="22"/>
                    </w:rPr>
                  </w:pPr>
                </w:p>
              </w:tc>
              <w:tc>
                <w:tcPr>
                  <w:tcW w:w="3328" w:type="dxa"/>
                </w:tcPr>
                <w:p w:rsidR="00E10F35" w:rsidRDefault="00AD4924">
                  <w:pPr>
                    <w:spacing w:after="160" w:line="259" w:lineRule="auto"/>
                    <w:rPr>
                      <w:rFonts w:eastAsiaTheme="minorHAnsi"/>
                      <w:sz w:val="22"/>
                    </w:rPr>
                  </w:pPr>
                  <w:r>
                    <w:rPr>
                      <w:lang w:val="en-US"/>
                    </w:rPr>
                    <w:t xml:space="preserve">        </w:t>
                  </w: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10F35" w:rsidRDefault="00E10F35">
            <w:pPr>
              <w:spacing w:after="160" w:line="256" w:lineRule="auto"/>
              <w:jc w:val="left"/>
              <w:rPr>
                <w:sz w:val="22"/>
              </w:rPr>
            </w:pPr>
          </w:p>
        </w:tc>
        <w:tc>
          <w:tcPr>
            <w:tcW w:w="4118" w:type="dxa"/>
          </w:tcPr>
          <w:p w:rsidR="00E10F35" w:rsidRDefault="00E10F35">
            <w:pPr>
              <w:spacing w:after="160" w:line="256" w:lineRule="auto"/>
              <w:jc w:val="left"/>
              <w:rPr>
                <w:sz w:val="22"/>
              </w:rPr>
            </w:pPr>
          </w:p>
        </w:tc>
      </w:tr>
    </w:tbl>
    <w:p w:rsidR="00E10F35" w:rsidRDefault="00E10F35">
      <w:pPr>
        <w:rPr>
          <w:sz w:val="20"/>
        </w:rPr>
      </w:pPr>
    </w:p>
    <w:p w:rsidR="00E10F35" w:rsidRDefault="00E10F35">
      <w:pPr>
        <w:rPr>
          <w:sz w:val="20"/>
        </w:rPr>
      </w:pPr>
    </w:p>
    <w:tbl>
      <w:tblPr>
        <w:tblpPr w:leftFromText="180" w:rightFromText="180" w:vertAnchor="text" w:horzAnchor="margin" w:tblpXSpec="center" w:tblpY="-66"/>
        <w:tblW w:w="10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4"/>
        <w:gridCol w:w="236"/>
        <w:gridCol w:w="8874"/>
      </w:tblGrid>
      <w:tr w:rsidR="00E10F35">
        <w:trPr>
          <w:trHeight w:val="13862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0F35" w:rsidRDefault="00E10F35"/>
          <w:p w:rsidR="00E10F35" w:rsidRDefault="00E10F35"/>
          <w:p w:rsidR="00E10F35" w:rsidRDefault="00E10F35">
            <w:pPr>
              <w:pStyle w:val="Naslov1"/>
              <w:rPr>
                <w:rFonts w:asciiTheme="minorHAnsi" w:hAnsiTheme="minorHAnsi" w:cstheme="minorHAnsi"/>
                <w:i w:val="0"/>
                <w:u w:val="none"/>
              </w:rPr>
            </w:pPr>
          </w:p>
          <w:p w:rsidR="00E10F35" w:rsidRDefault="00AD4924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OPIS PROGRAMA, OPĆI I POSEBNI CILJEVI:</w:t>
            </w: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AD4924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ZAKONSKA OSNOVA ZA UVOĐENJE PROGRAMA:</w:t>
            </w: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AD4924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NAČIN I SREDSTVA ZA REALIZACIJU PROGRAMA</w:t>
            </w:r>
            <w:r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AD4924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POKAZATELJI USPJEŠNOSTI:</w:t>
            </w: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:rsidR="00E10F35" w:rsidRDefault="00E10F35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0F35" w:rsidRDefault="00E10F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0F35" w:rsidRDefault="00E10F35">
            <w:pPr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:rsidR="00E10F35" w:rsidRDefault="00AD4924">
            <w:pPr>
              <w:rPr>
                <w:szCs w:val="24"/>
              </w:rPr>
            </w:pPr>
            <w:r>
              <w:rPr>
                <w:szCs w:val="24"/>
              </w:rPr>
              <w:t>Prioritet škole je kvalitetno obrazovanje i odgoj učenika što ostvarujemo:</w:t>
            </w:r>
          </w:p>
          <w:p w:rsidR="00E10F35" w:rsidRDefault="00AD4924">
            <w:pPr>
              <w:rPr>
                <w:szCs w:val="24"/>
              </w:rPr>
            </w:pPr>
            <w:r>
              <w:rPr>
                <w:szCs w:val="24"/>
              </w:rPr>
              <w:t>- stalnim usavršavanjem nastavnika (seminari, stručni skupovi) i podizanjem nastavnog standarda na višu razinu</w:t>
            </w:r>
          </w:p>
          <w:p w:rsidR="00E10F35" w:rsidRDefault="00AD4924">
            <w:pPr>
              <w:rPr>
                <w:szCs w:val="24"/>
              </w:rPr>
            </w:pPr>
            <w:r>
              <w:rPr>
                <w:szCs w:val="24"/>
              </w:rPr>
              <w:t>- poticanjem učenika na izražavanje kreativnosti, talenata i sposobnos</w:t>
            </w:r>
            <w:r>
              <w:rPr>
                <w:szCs w:val="24"/>
              </w:rPr>
              <w:t>ti kroz uključivanje u izvannastavne aktivnosti, natjecanje te druge školske projekte</w:t>
            </w:r>
          </w:p>
          <w:p w:rsidR="00E10F35" w:rsidRDefault="00E10F35">
            <w:pPr>
              <w:pStyle w:val="Bezproreda1"/>
              <w:rPr>
                <w:rFonts w:ascii="Times New Roman" w:hAnsi="Times New Roman"/>
              </w:rPr>
            </w:pPr>
          </w:p>
          <w:p w:rsidR="00E10F35" w:rsidRDefault="00AD4924">
            <w:pPr>
              <w:pStyle w:val="Bezproreda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Aktivnosti i projekti planirani za 2025. godinu usklađeni su s radnom verzijom Odluke o kriterijima, mjerilima i načinu financiranja decentraliziranih funkcija srednjeg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školstva Šibensko-kninske županije u 2025. godini. </w:t>
            </w:r>
          </w:p>
          <w:p w:rsidR="00E10F35" w:rsidRDefault="00AD4924">
            <w:pPr>
              <w:pStyle w:val="Bezproreda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 to spadaju ​​izmjene u programima rada, operativnom i kapitalnom planu koje su potrebne kako bi se osiguralo usklađivanje izvornog plana s aktualnom situacijom i novim prioritetima.</w:t>
            </w:r>
          </w:p>
          <w:p w:rsidR="00E10F35" w:rsidRDefault="00E10F35">
            <w:pPr>
              <w:pStyle w:val="Bezproreda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0F35" w:rsidRDefault="00AD4924">
            <w:pPr>
              <w:pStyle w:val="Bezproreda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 tablici su iskaza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ni rashodi i izdatci po aktivnostima i projektima za 2025. godinu, izmjene, te novi plan.</w:t>
            </w:r>
          </w:p>
          <w:p w:rsidR="00E10F35" w:rsidRDefault="00E10F35">
            <w:pPr>
              <w:rPr>
                <w:bCs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890"/>
              <w:gridCol w:w="1372"/>
              <w:gridCol w:w="1609"/>
              <w:gridCol w:w="1271"/>
              <w:gridCol w:w="1506"/>
            </w:tblGrid>
            <w:tr w:rsidR="00E10F35">
              <w:tc>
                <w:tcPr>
                  <w:tcW w:w="289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Upravni odjel za prosvjetu, znanost, kulturu i nove tehnologije</w:t>
                  </w:r>
                </w:p>
              </w:tc>
              <w:tc>
                <w:tcPr>
                  <w:tcW w:w="1372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Proračun 2025.</w:t>
                  </w:r>
                </w:p>
              </w:tc>
              <w:tc>
                <w:tcPr>
                  <w:tcW w:w="1609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Rebalans I.</w:t>
                  </w:r>
                </w:p>
              </w:tc>
              <w:tc>
                <w:tcPr>
                  <w:tcW w:w="1271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Rebalans II.</w:t>
                  </w:r>
                </w:p>
              </w:tc>
              <w:tc>
                <w:tcPr>
                  <w:tcW w:w="150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Novi plan 2025.</w:t>
                  </w:r>
                </w:p>
              </w:tc>
            </w:tr>
            <w:tr w:rsidR="00E10F35">
              <w:tc>
                <w:tcPr>
                  <w:tcW w:w="289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1. SREDNJOŠKOLSKO OBRAZOVANJE - STANDARD</w:t>
                  </w:r>
                </w:p>
              </w:tc>
              <w:tc>
                <w:tcPr>
                  <w:tcW w:w="1372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141 747,00</w:t>
                  </w:r>
                </w:p>
              </w:tc>
              <w:tc>
                <w:tcPr>
                  <w:tcW w:w="1609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1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0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141 747,00</w:t>
                  </w:r>
                </w:p>
              </w:tc>
            </w:tr>
            <w:tr w:rsidR="00E10F35">
              <w:tc>
                <w:tcPr>
                  <w:tcW w:w="289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2. SREDNJEŠKOLSKO OBRAZOVANJE - OPERATIVNI PLAN</w:t>
                  </w:r>
                </w:p>
              </w:tc>
              <w:tc>
                <w:tcPr>
                  <w:tcW w:w="1372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1 650,00</w:t>
                  </w:r>
                </w:p>
              </w:tc>
              <w:tc>
                <w:tcPr>
                  <w:tcW w:w="1609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36 925,00</w:t>
                  </w:r>
                </w:p>
              </w:tc>
              <w:tc>
                <w:tcPr>
                  <w:tcW w:w="1271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  <w:p w:rsidR="00E10F35" w:rsidRDefault="00E10F35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50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38 575,00</w:t>
                  </w:r>
                </w:p>
              </w:tc>
            </w:tr>
            <w:tr w:rsidR="00E10F35">
              <w:tc>
                <w:tcPr>
                  <w:tcW w:w="289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3. PODIZANJE KVALITETE I STANDARDA KROZ AKTIVNOSTI ŠKOLA</w:t>
                  </w:r>
                </w:p>
              </w:tc>
              <w:tc>
                <w:tcPr>
                  <w:tcW w:w="1372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22 564,00</w:t>
                  </w:r>
                </w:p>
              </w:tc>
              <w:tc>
                <w:tcPr>
                  <w:tcW w:w="1609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1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1 525,00</w:t>
                  </w:r>
                </w:p>
              </w:tc>
              <w:tc>
                <w:tcPr>
                  <w:tcW w:w="150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24 089,00</w:t>
                  </w:r>
                </w:p>
              </w:tc>
            </w:tr>
            <w:tr w:rsidR="00E10F35">
              <w:tc>
                <w:tcPr>
                  <w:tcW w:w="289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4. PRIJEVOZ UČENIKA S TEŠKOĆAMA U RAZVOJU</w:t>
                  </w:r>
                </w:p>
              </w:tc>
              <w:tc>
                <w:tcPr>
                  <w:tcW w:w="1372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22 024,00</w:t>
                  </w:r>
                </w:p>
                <w:p w:rsidR="00E10F35" w:rsidRDefault="00E10F35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609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1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0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22 024,00</w:t>
                  </w:r>
                </w:p>
              </w:tc>
            </w:tr>
            <w:tr w:rsidR="00E10F35">
              <w:tc>
                <w:tcPr>
                  <w:tcW w:w="289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5. OPSKRBA ŠKOLSKIH USTANOVA BESPLATNIM ZALIHAMA MENSTRUALNIH HIGIJENSKIH POTREPŠTINA </w:t>
                  </w:r>
                </w:p>
              </w:tc>
              <w:tc>
                <w:tcPr>
                  <w:tcW w:w="1372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306,00</w:t>
                  </w:r>
                </w:p>
              </w:tc>
              <w:tc>
                <w:tcPr>
                  <w:tcW w:w="1609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-9,00</w:t>
                  </w:r>
                </w:p>
              </w:tc>
              <w:tc>
                <w:tcPr>
                  <w:tcW w:w="1271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0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297,00</w:t>
                  </w:r>
                </w:p>
              </w:tc>
            </w:tr>
            <w:tr w:rsidR="00E10F35">
              <w:tc>
                <w:tcPr>
                  <w:tcW w:w="289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6. ŠKOLA ZA ŽIVOT – KURIKULARNA REFORMA</w:t>
                  </w:r>
                </w:p>
              </w:tc>
              <w:tc>
                <w:tcPr>
                  <w:tcW w:w="1372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4 645,00</w:t>
                  </w:r>
                </w:p>
              </w:tc>
              <w:tc>
                <w:tcPr>
                  <w:tcW w:w="1609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1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0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4 645,00</w:t>
                  </w:r>
                </w:p>
              </w:tc>
            </w:tr>
            <w:tr w:rsidR="00E10F35">
              <w:tc>
                <w:tcPr>
                  <w:tcW w:w="289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7. ZAJEDNO DO ZNANJA UZ VIŠE ELANA VI</w:t>
                  </w:r>
                </w:p>
              </w:tc>
              <w:tc>
                <w:tcPr>
                  <w:tcW w:w="1372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31 300,00</w:t>
                  </w:r>
                </w:p>
              </w:tc>
              <w:tc>
                <w:tcPr>
                  <w:tcW w:w="1609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- 4 583,00</w:t>
                  </w:r>
                </w:p>
              </w:tc>
              <w:tc>
                <w:tcPr>
                  <w:tcW w:w="1271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4 736,00</w:t>
                  </w:r>
                </w:p>
              </w:tc>
              <w:tc>
                <w:tcPr>
                  <w:tcW w:w="150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31 453,00</w:t>
                  </w:r>
                </w:p>
              </w:tc>
            </w:tr>
            <w:tr w:rsidR="00E10F35">
              <w:tc>
                <w:tcPr>
                  <w:tcW w:w="289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8.  ERASMUS+STRUKOVNE VJEŠTINE KROZ PRAKSU (SSŠ KRALJA ZVONIMIRA)</w:t>
                  </w:r>
                </w:p>
              </w:tc>
              <w:tc>
                <w:tcPr>
                  <w:tcW w:w="1372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  <w:p w:rsidR="00E10F35" w:rsidRDefault="00E10F35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609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1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47 900,00</w:t>
                  </w:r>
                </w:p>
              </w:tc>
              <w:tc>
                <w:tcPr>
                  <w:tcW w:w="150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47 900,00</w:t>
                  </w:r>
                </w:p>
              </w:tc>
            </w:tr>
            <w:tr w:rsidR="00E10F35">
              <w:tc>
                <w:tcPr>
                  <w:tcW w:w="289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lastRenderedPageBreak/>
                    <w:t>9. REDOVNA DJELATNOST ŠKOLA (EVIDENCIJSKI PRIHODI)</w:t>
                  </w:r>
                </w:p>
              </w:tc>
              <w:tc>
                <w:tcPr>
                  <w:tcW w:w="1372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1 430 705,00</w:t>
                  </w:r>
                </w:p>
              </w:tc>
              <w:tc>
                <w:tcPr>
                  <w:tcW w:w="1609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1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245 105,00</w:t>
                  </w:r>
                </w:p>
              </w:tc>
              <w:tc>
                <w:tcPr>
                  <w:tcW w:w="150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1 675 810,00</w:t>
                  </w:r>
                </w:p>
              </w:tc>
            </w:tr>
            <w:tr w:rsidR="00E10F35">
              <w:tc>
                <w:tcPr>
                  <w:tcW w:w="289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10. SIGURNOST U ŠKOLAMA</w:t>
                  </w:r>
                </w:p>
              </w:tc>
              <w:tc>
                <w:tcPr>
                  <w:tcW w:w="1372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609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1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2 250,00</w:t>
                  </w:r>
                </w:p>
              </w:tc>
              <w:tc>
                <w:tcPr>
                  <w:tcW w:w="150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2 250,00</w:t>
                  </w:r>
                </w:p>
              </w:tc>
            </w:tr>
            <w:tr w:rsidR="00E10F35">
              <w:tc>
                <w:tcPr>
                  <w:tcW w:w="289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11. ERASMUS+DANAŠNJA PRAKSA-SUTRAŠNJE STVARANJE (SSŠ KRALJA ZVONIMIRA)</w:t>
                  </w:r>
                </w:p>
              </w:tc>
              <w:tc>
                <w:tcPr>
                  <w:tcW w:w="1372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9 317,00</w:t>
                  </w:r>
                </w:p>
              </w:tc>
              <w:tc>
                <w:tcPr>
                  <w:tcW w:w="1609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1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0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9 317,00</w:t>
                  </w:r>
                </w:p>
              </w:tc>
            </w:tr>
            <w:tr w:rsidR="00E10F35">
              <w:tc>
                <w:tcPr>
                  <w:tcW w:w="289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12. KAPITALNA ULAGANJA I NABAVA OPREME U SREDNJEM ŠKOLSTVU</w:t>
                  </w:r>
                </w:p>
              </w:tc>
              <w:tc>
                <w:tcPr>
                  <w:tcW w:w="1372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11 520,00</w:t>
                  </w:r>
                </w:p>
              </w:tc>
              <w:tc>
                <w:tcPr>
                  <w:tcW w:w="1609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- 5 520,00</w:t>
                  </w:r>
                </w:p>
              </w:tc>
              <w:tc>
                <w:tcPr>
                  <w:tcW w:w="1271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0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6 000,00</w:t>
                  </w:r>
                </w:p>
              </w:tc>
            </w:tr>
            <w:tr w:rsidR="00E10F35">
              <w:tc>
                <w:tcPr>
                  <w:tcW w:w="289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UKUPNO</w:t>
                  </w:r>
                </w:p>
              </w:tc>
              <w:tc>
                <w:tcPr>
                  <w:tcW w:w="1372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1 675 778,00</w:t>
                  </w:r>
                </w:p>
              </w:tc>
              <w:tc>
                <w:tcPr>
                  <w:tcW w:w="1609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26 813,00</w:t>
                  </w:r>
                </w:p>
              </w:tc>
              <w:tc>
                <w:tcPr>
                  <w:tcW w:w="1271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301 516,00</w:t>
                  </w:r>
                </w:p>
              </w:tc>
              <w:tc>
                <w:tcPr>
                  <w:tcW w:w="150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spacing w:after="160" w:line="259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2 004 107,00</w:t>
                  </w:r>
                </w:p>
              </w:tc>
            </w:tr>
          </w:tbl>
          <w:p w:rsidR="00E10F35" w:rsidRDefault="00E10F35">
            <w:pPr>
              <w:rPr>
                <w:bCs/>
                <w:szCs w:val="24"/>
              </w:rPr>
            </w:pPr>
          </w:p>
          <w:p w:rsidR="00E10F35" w:rsidRDefault="00E10F35">
            <w:pPr>
              <w:rPr>
                <w:bCs/>
                <w:szCs w:val="24"/>
              </w:rPr>
            </w:pPr>
          </w:p>
          <w:p w:rsidR="00E10F35" w:rsidRDefault="00AD4924">
            <w:pPr>
              <w:pStyle w:val="Bezprored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Prihodi i primitci su se uskladili sa financijskim planom, a najznačajnije promjene su na sljedećim izvorima:</w:t>
            </w:r>
          </w:p>
          <w:p w:rsidR="00E10F35" w:rsidRDefault="00AD4924">
            <w:pPr>
              <w:pStyle w:val="Bezprored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Izvor 1202 (operativni plan) je povećan iz razloga što su odlukom o kriterijima, mjerilima i načinu financiranja decentraliziranih funkcija srednjeg školstva Šibensko-kninske županije u 2025. godini dodijeljena sredstva u većem iznosu nego se planiralo u 2</w:t>
            </w:r>
            <w:r>
              <w:rPr>
                <w:rFonts w:ascii="Times New Roman" w:hAnsi="Times New Roman"/>
                <w:sz w:val="24"/>
                <w:szCs w:val="24"/>
              </w:rPr>
              <w:t>024. godini za Proračun 2025. godine. Točnije, riječ je o iznosu od 36 925,00 € novo dodijeljenih sredstava potrebnih za sanaciju određenih prostora škole.</w:t>
            </w:r>
          </w:p>
          <w:p w:rsidR="00E10F35" w:rsidRDefault="00AD4924">
            <w:pPr>
              <w:pStyle w:val="Bezprored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Kapitalna ulaganja su nam umanjena za 5 520</w:t>
            </w:r>
            <w:r w:rsidR="00F51966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€ prema Odluci o iznosima kapitalnih ulaganja srednjih š</w:t>
            </w:r>
            <w:r>
              <w:rPr>
                <w:rFonts w:ascii="Times New Roman" w:hAnsi="Times New Roman"/>
                <w:sz w:val="24"/>
                <w:szCs w:val="24"/>
              </w:rPr>
              <w:t>kola u Šibensko-kninskoj županiji</w:t>
            </w:r>
            <w:r w:rsidR="00F51966">
              <w:rPr>
                <w:rFonts w:ascii="Times New Roman" w:hAnsi="Times New Roman"/>
                <w:sz w:val="24"/>
                <w:szCs w:val="24"/>
              </w:rPr>
              <w:t xml:space="preserve"> te iznose 6 000 €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0F35" w:rsidRDefault="00AD4924">
            <w:pPr>
              <w:pStyle w:val="Bezprored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Izvor financiranja 1102 unutar aktivnosti „Zajedno do znanja uz više elana VI“ je umanjen za iznos od 1 565,00 € prema uputi prilikom izrade I</w:t>
            </w:r>
            <w:r w:rsidR="00344120">
              <w:rPr>
                <w:rFonts w:ascii="Times New Roman" w:hAnsi="Times New Roman"/>
                <w:sz w:val="24"/>
                <w:szCs w:val="24"/>
              </w:rPr>
              <w:t>I</w:t>
            </w:r>
            <w:r w:rsidR="00F51966">
              <w:rPr>
                <w:rFonts w:ascii="Times New Roman" w:hAnsi="Times New Roman"/>
                <w:sz w:val="24"/>
                <w:szCs w:val="24"/>
              </w:rPr>
              <w:t>. Rebalansa , iznos od 2 250,00 €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1966">
              <w:rPr>
                <w:rFonts w:ascii="Times New Roman" w:hAnsi="Times New Roman"/>
                <w:sz w:val="24"/>
                <w:szCs w:val="24"/>
              </w:rPr>
              <w:t>je dodijeljen za novu aktivnost Sigurnost u školama.</w:t>
            </w:r>
          </w:p>
          <w:p w:rsidR="00E10F35" w:rsidRDefault="00AD4924">
            <w:pPr>
              <w:pStyle w:val="Bezprored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Izvor financiranja 1502 unutar aktivnosti „Zajedno do znanja uz v</w:t>
            </w:r>
            <w:r w:rsidR="00F51966">
              <w:rPr>
                <w:rFonts w:ascii="Times New Roman" w:hAnsi="Times New Roman"/>
                <w:sz w:val="24"/>
                <w:szCs w:val="24"/>
              </w:rPr>
              <w:t>iše elana VI“ je uvećan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1966">
              <w:rPr>
                <w:rFonts w:ascii="Times New Roman" w:hAnsi="Times New Roman"/>
                <w:sz w:val="24"/>
                <w:szCs w:val="24"/>
              </w:rPr>
              <w:t>iz razloga jer je u prvotnom Planu za 2025. godinu bio troškovnik napravljen za jednog pomoćnika nastavi a zatim smo ostvarili pravo na zapošljavanje još jednog djelatnika. Od 1.9.2025. godine ponovno ostajemo na zapošljavanju jednog pomoćnika u nastavi.</w:t>
            </w:r>
          </w:p>
          <w:p w:rsidR="00F51966" w:rsidRDefault="00F51966">
            <w:pPr>
              <w:pStyle w:val="Bezprored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 izvoru financiranja 5102 kroz novo ostvareni projekt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+ pod nazivom </w:t>
            </w:r>
            <w:r w:rsidR="0002377B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Strukovne vještine kroz praksu</w:t>
            </w:r>
            <w:r w:rsidR="0002377B">
              <w:rPr>
                <w:rFonts w:ascii="Times New Roman" w:hAnsi="Times New Roman"/>
                <w:sz w:val="24"/>
                <w:szCs w:val="24"/>
              </w:rPr>
              <w:t>“ gdje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imamo na raspolaganju 47 900,00</w:t>
            </w:r>
            <w:r w:rsidR="00255D3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  <w:r w:rsidR="0002377B">
              <w:rPr>
                <w:rFonts w:ascii="Times New Roman" w:hAnsi="Times New Roman"/>
                <w:sz w:val="24"/>
                <w:szCs w:val="24"/>
              </w:rPr>
              <w:t>sredstava</w:t>
            </w:r>
            <w:r w:rsidR="00255D38">
              <w:rPr>
                <w:rFonts w:ascii="Times New Roman" w:hAnsi="Times New Roman"/>
                <w:sz w:val="24"/>
                <w:szCs w:val="24"/>
              </w:rPr>
              <w:t xml:space="preserve"> koja ćemo namjenski utrošiti na mobilnost učenika u Njemačku, gdje će kroz stručnu praksu u inozemstvu stjecati nova znanja i vještine.</w:t>
            </w:r>
          </w:p>
          <w:p w:rsidR="00255D38" w:rsidRDefault="00255D38">
            <w:pPr>
              <w:pStyle w:val="Bezprored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Izvor financiranja 6102 smo uvećali sa 200,00 € na 830,00 € iz razloga što smo imali donacije za organizaciju maturalne zabave koja smo namjenski i utrošili u mjesecu </w:t>
            </w:r>
            <w:r w:rsidR="0002377B">
              <w:rPr>
                <w:rFonts w:ascii="Times New Roman" w:hAnsi="Times New Roman"/>
                <w:sz w:val="24"/>
                <w:szCs w:val="24"/>
              </w:rPr>
              <w:t>svibnju 2025. godine.</w:t>
            </w:r>
          </w:p>
          <w:p w:rsidR="00E10F35" w:rsidRDefault="00E10F35">
            <w:pPr>
              <w:pStyle w:val="Bezproreda1"/>
              <w:rPr>
                <w:rFonts w:ascii="Times New Roman" w:hAnsi="Times New Roman"/>
              </w:rPr>
            </w:pPr>
          </w:p>
          <w:p w:rsidR="0002377B" w:rsidRDefault="0002377B">
            <w:pPr>
              <w:pStyle w:val="Bezproreda1"/>
              <w:rPr>
                <w:rFonts w:ascii="Times New Roman" w:hAnsi="Times New Roman"/>
              </w:rPr>
            </w:pPr>
          </w:p>
          <w:p w:rsidR="0002377B" w:rsidRDefault="0002377B">
            <w:pPr>
              <w:pStyle w:val="Bezproreda1"/>
              <w:rPr>
                <w:rFonts w:ascii="Times New Roman" w:hAnsi="Times New Roman"/>
              </w:rPr>
            </w:pPr>
          </w:p>
          <w:p w:rsidR="0002377B" w:rsidRDefault="0002377B">
            <w:pPr>
              <w:pStyle w:val="Bezproreda1"/>
              <w:rPr>
                <w:rFonts w:ascii="Times New Roman" w:hAnsi="Times New Roman"/>
              </w:rPr>
            </w:pPr>
          </w:p>
          <w:p w:rsidR="0002377B" w:rsidRDefault="0002377B">
            <w:pPr>
              <w:pStyle w:val="Bezproreda1"/>
              <w:rPr>
                <w:rFonts w:ascii="Times New Roman" w:hAnsi="Times New Roman"/>
              </w:rPr>
            </w:pPr>
          </w:p>
          <w:p w:rsidR="0002377B" w:rsidRDefault="0002377B">
            <w:pPr>
              <w:pStyle w:val="Bezproreda1"/>
              <w:rPr>
                <w:rFonts w:ascii="Times New Roman" w:hAnsi="Times New Roman"/>
              </w:rPr>
            </w:pPr>
          </w:p>
          <w:p w:rsidR="0002377B" w:rsidRDefault="0002377B">
            <w:pPr>
              <w:pStyle w:val="Bezproreda1"/>
              <w:rPr>
                <w:rFonts w:ascii="Times New Roman" w:hAnsi="Times New Roman"/>
              </w:rPr>
            </w:pPr>
          </w:p>
          <w:p w:rsidR="0002377B" w:rsidRDefault="0002377B">
            <w:pPr>
              <w:pStyle w:val="Bezproreda1"/>
              <w:rPr>
                <w:rFonts w:ascii="Times New Roman" w:hAnsi="Times New Roman"/>
              </w:rPr>
            </w:pPr>
          </w:p>
          <w:p w:rsidR="0002377B" w:rsidRDefault="0002377B">
            <w:pPr>
              <w:pStyle w:val="Bezproreda1"/>
              <w:rPr>
                <w:rFonts w:ascii="Times New Roman" w:hAnsi="Times New Roman"/>
              </w:rPr>
            </w:pPr>
          </w:p>
          <w:p w:rsidR="0002377B" w:rsidRDefault="0002377B">
            <w:pPr>
              <w:pStyle w:val="Bezproreda1"/>
              <w:rPr>
                <w:rFonts w:ascii="Times New Roman" w:hAnsi="Times New Roman"/>
              </w:rPr>
            </w:pPr>
          </w:p>
          <w:p w:rsidR="0002377B" w:rsidRDefault="0002377B">
            <w:pPr>
              <w:pStyle w:val="Bezproreda1"/>
              <w:rPr>
                <w:rFonts w:ascii="Times New Roman" w:hAnsi="Times New Roman"/>
              </w:rPr>
            </w:pPr>
          </w:p>
          <w:p w:rsidR="00E10F35" w:rsidRDefault="00E10F35">
            <w:pPr>
              <w:pStyle w:val="Bezproreda1"/>
              <w:rPr>
                <w:rFonts w:ascii="Times New Roman" w:hAnsi="Times New Roman"/>
              </w:rPr>
            </w:pPr>
          </w:p>
          <w:p w:rsidR="00E10F35" w:rsidRDefault="00AD4924">
            <w:pPr>
              <w:pStyle w:val="Bezprored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Zakonske i druge podloge na kojima se zasniva program rada škole su:</w:t>
            </w:r>
          </w:p>
          <w:p w:rsidR="00E10F35" w:rsidRDefault="00AD4924">
            <w:pPr>
              <w:pStyle w:val="Bezproreda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Zakon o odgoju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obrazovanju u osnovnoj i srednjoj školi (NN 87/08, 86/09, 92/10, 105/10, 90/11, 5/12, 16/12, 86/12, 126/12, 94/13, 152/14, 07/17, 68/18, 98/19, 64/20)</w:t>
            </w:r>
          </w:p>
          <w:p w:rsidR="00E10F35" w:rsidRDefault="00AD4924">
            <w:pPr>
              <w:pStyle w:val="Bezproreda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Zakon o ustanovama (NN 76/93, 29/97, 47/99, 35/08, 127/19)</w:t>
            </w:r>
          </w:p>
          <w:p w:rsidR="00E10F35" w:rsidRDefault="00AD4924">
            <w:pPr>
              <w:pStyle w:val="Bezproreda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Zakon o proračunu (NN 144/21)</w:t>
            </w:r>
          </w:p>
          <w:p w:rsidR="00E10F35" w:rsidRDefault="00AD4924">
            <w:pPr>
              <w:pStyle w:val="Bezproreda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Pravilnik o proračunskim klasifikacijama (NN 26/10, 120/13, 01/20)</w:t>
            </w:r>
          </w:p>
          <w:p w:rsidR="00E10F35" w:rsidRDefault="00AD4924">
            <w:pPr>
              <w:pStyle w:val="Bezproreda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Pravilnik o proračunskom računovodstvu i računskom planu (NN 124/14, 115/15, 87/16, 3/18, 126/19, 108/20)</w:t>
            </w:r>
          </w:p>
          <w:p w:rsidR="00E10F35" w:rsidRDefault="00AD4924">
            <w:pPr>
              <w:pStyle w:val="Bezproreda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Zakon o fiskalnoj odgovornosti (NN 111/18) i Uredba o sastavljanju i predaji Izjave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fiskalnoj odgovornosti (NN 95/19)</w:t>
            </w:r>
          </w:p>
          <w:p w:rsidR="00E10F35" w:rsidRDefault="00AD4924">
            <w:pPr>
              <w:pStyle w:val="Bezproreda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Godišnji plan i program rada škole za školsku godinu 2024./2025.</w:t>
            </w:r>
          </w:p>
          <w:p w:rsidR="00E10F35" w:rsidRDefault="00AD4924">
            <w:pPr>
              <w:pStyle w:val="Bezproreda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Kurikulum škole za školsku godinu 2023./2024.</w:t>
            </w:r>
          </w:p>
          <w:p w:rsidR="00E10F35" w:rsidRDefault="00E10F35">
            <w:pPr>
              <w:pStyle w:val="Bezproreda1"/>
              <w:pBdr>
                <w:right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ind w:left="5664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AD4924">
            <w:pPr>
              <w:rPr>
                <w:szCs w:val="24"/>
              </w:rPr>
            </w:pPr>
            <w:r>
              <w:rPr>
                <w:szCs w:val="24"/>
              </w:rPr>
              <w:t>Izvori sredstava za financiranje rada Srednje strukovne škole kralja Zvonimira su:</w:t>
            </w:r>
          </w:p>
          <w:p w:rsidR="00E10F35" w:rsidRDefault="00E10F35">
            <w:pPr>
              <w:rPr>
                <w:szCs w:val="24"/>
              </w:rPr>
            </w:pPr>
          </w:p>
          <w:p w:rsidR="00E10F35" w:rsidRDefault="00AD4924">
            <w:pPr>
              <w:numPr>
                <w:ilvl w:val="0"/>
                <w:numId w:val="28"/>
              </w:numPr>
              <w:spacing w:after="160" w:line="259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1100 ŠKŽ Opći prihodi</w:t>
            </w:r>
            <w:r>
              <w:rPr>
                <w:bCs/>
                <w:szCs w:val="24"/>
              </w:rPr>
              <w:t xml:space="preserve"> i primici, skupina 67 – sredstva županije za natjecanja učenika, Zajedno do znanja uz više elana V i VI</w:t>
            </w:r>
          </w:p>
          <w:p w:rsidR="00E10F35" w:rsidRDefault="00AD4924">
            <w:pPr>
              <w:numPr>
                <w:ilvl w:val="0"/>
                <w:numId w:val="28"/>
              </w:numPr>
              <w:spacing w:after="160" w:line="259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1202 SŠ Sredstva za DEC funkcije, skupina 67 – materijalni i financijski rashodi </w:t>
            </w:r>
          </w:p>
          <w:p w:rsidR="00E10F35" w:rsidRDefault="00AD4924">
            <w:pPr>
              <w:numPr>
                <w:ilvl w:val="0"/>
                <w:numId w:val="28"/>
              </w:numPr>
              <w:spacing w:after="160" w:line="259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1502 SŠ predfinanciranje EU projekata iz sredstava ŠKŽ, skupina 67 – </w:t>
            </w:r>
            <w:r>
              <w:rPr>
                <w:bCs/>
                <w:szCs w:val="24"/>
              </w:rPr>
              <w:t>Zajedno do znanja uz više elana V i VI</w:t>
            </w:r>
          </w:p>
          <w:p w:rsidR="00E10F35" w:rsidRDefault="00AD4924">
            <w:pPr>
              <w:numPr>
                <w:ilvl w:val="0"/>
                <w:numId w:val="28"/>
              </w:numPr>
              <w:spacing w:after="160" w:line="259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3102 SŠ Vlastiti prihodi, skupina 66 – izdavanje duplikata svjedodžbi</w:t>
            </w:r>
          </w:p>
          <w:p w:rsidR="00E10F35" w:rsidRDefault="00AD4924">
            <w:pPr>
              <w:numPr>
                <w:ilvl w:val="0"/>
                <w:numId w:val="28"/>
              </w:numPr>
              <w:spacing w:after="160" w:line="259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4302 SŠ Prihodi posebne namjene, skupina 65 – osiguranje učenika, učenički izleti, organizacija maturalne zabave, nabava opreme za učionice</w:t>
            </w:r>
          </w:p>
          <w:p w:rsidR="00E10F35" w:rsidRDefault="00AD4924">
            <w:pPr>
              <w:numPr>
                <w:ilvl w:val="0"/>
                <w:numId w:val="28"/>
              </w:numPr>
              <w:spacing w:after="160" w:line="259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5102 SŠ Pomoći EU, skupina 63 – Erasmus + Današnja praksa - sutrašnje stvaranje</w:t>
            </w:r>
            <w:r w:rsidR="00344120">
              <w:rPr>
                <w:bCs/>
                <w:szCs w:val="24"/>
              </w:rPr>
              <w:t>, Strukovne vještine kroz praksu</w:t>
            </w:r>
          </w:p>
          <w:p w:rsidR="00E10F35" w:rsidRDefault="00AD4924">
            <w:pPr>
              <w:numPr>
                <w:ilvl w:val="0"/>
                <w:numId w:val="28"/>
              </w:numPr>
              <w:spacing w:after="160" w:line="259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5202 SŠ Pomoći iz proračuna, skupina 63 – plaće i ostala materijalna prava zaposlenika, opremanje solarnog automobila, financiranje prijevoza za učenike s poteškoćama u razvoju</w:t>
            </w:r>
            <w:r>
              <w:rPr>
                <w:bCs/>
                <w:szCs w:val="24"/>
              </w:rPr>
              <w:t>, nabava higijenskih potrepština</w:t>
            </w:r>
          </w:p>
          <w:p w:rsidR="0002377B" w:rsidRDefault="0002377B">
            <w:pPr>
              <w:numPr>
                <w:ilvl w:val="0"/>
                <w:numId w:val="28"/>
              </w:numPr>
              <w:spacing w:after="160" w:line="259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6102 SŠ Donacije – organizacija maturalne zabave kroz prihode od fizičkih osoba, neprofitnih organizacija ili trgovačkih društava</w:t>
            </w: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02377B" w:rsidRDefault="0002377B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02377B" w:rsidRDefault="0002377B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02377B" w:rsidRDefault="0002377B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02377B" w:rsidRDefault="0002377B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02377B" w:rsidRDefault="0002377B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02377B" w:rsidRDefault="0002377B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02377B" w:rsidRDefault="0002377B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02377B" w:rsidRDefault="0002377B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02377B" w:rsidRDefault="0002377B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02377B" w:rsidRDefault="0002377B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02377B" w:rsidRDefault="0002377B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02377B" w:rsidRDefault="0002377B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AD4924">
            <w:pPr>
              <w:pBdr>
                <w:right w:val="single" w:sz="4" w:space="1" w:color="auto"/>
              </w:pBdr>
              <w:jc w:val="left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U tablici su iskazani prihodi i primici po izvorima financiranja, izmjene nastale rebalansom, te novi plan za 2025. godinu.</w:t>
            </w:r>
          </w:p>
          <w:p w:rsidR="00E10F35" w:rsidRDefault="00E10F35">
            <w:pPr>
              <w:pBdr>
                <w:right w:val="single" w:sz="4" w:space="1" w:color="auto"/>
              </w:pBdr>
              <w:jc w:val="left"/>
              <w:rPr>
                <w:rFonts w:eastAsia="Calibri"/>
                <w:bCs/>
                <w:sz w:val="22"/>
                <w:szCs w:val="22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00"/>
              <w:gridCol w:w="1798"/>
              <w:gridCol w:w="1787"/>
              <w:gridCol w:w="1487"/>
              <w:gridCol w:w="1676"/>
            </w:tblGrid>
            <w:tr w:rsidR="00E10F35">
              <w:tc>
                <w:tcPr>
                  <w:tcW w:w="190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Izvor financiranja</w:t>
                  </w:r>
                </w:p>
              </w:tc>
              <w:tc>
                <w:tcPr>
                  <w:tcW w:w="1798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Plan 2025.</w:t>
                  </w:r>
                </w:p>
              </w:tc>
              <w:tc>
                <w:tcPr>
                  <w:tcW w:w="17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Rebalans I.</w:t>
                  </w:r>
                </w:p>
              </w:tc>
              <w:tc>
                <w:tcPr>
                  <w:tcW w:w="14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Rebalans II.</w:t>
                  </w:r>
                </w:p>
              </w:tc>
              <w:tc>
                <w:tcPr>
                  <w:tcW w:w="167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Novi plan 2025.</w:t>
                  </w:r>
                </w:p>
              </w:tc>
            </w:tr>
            <w:tr w:rsidR="00E10F35">
              <w:tc>
                <w:tcPr>
                  <w:tcW w:w="190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sz w:val="18"/>
                      <w:szCs w:val="18"/>
                    </w:rPr>
                  </w:pPr>
                  <w:bookmarkStart w:id="0" w:name="_Hlk145487120"/>
                  <w:r>
                    <w:rPr>
                      <w:sz w:val="18"/>
                      <w:szCs w:val="18"/>
                    </w:rPr>
                    <w:t xml:space="preserve">1100 ŠKŽ Opći prihodi i primici </w:t>
                  </w:r>
                </w:p>
              </w:tc>
              <w:tc>
                <w:tcPr>
                  <w:tcW w:w="1798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2 229,00</w:t>
                  </w:r>
                </w:p>
              </w:tc>
              <w:tc>
                <w:tcPr>
                  <w:tcW w:w="17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-1 565,00</w:t>
                  </w:r>
                </w:p>
              </w:tc>
              <w:tc>
                <w:tcPr>
                  <w:tcW w:w="14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2 250,00</w:t>
                  </w:r>
                </w:p>
              </w:tc>
              <w:tc>
                <w:tcPr>
                  <w:tcW w:w="167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2 914,00</w:t>
                  </w:r>
                </w:p>
              </w:tc>
            </w:tr>
            <w:tr w:rsidR="00E10F35">
              <w:tc>
                <w:tcPr>
                  <w:tcW w:w="190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1202 OŠ DEC sredstva</w:t>
                  </w:r>
                </w:p>
                <w:p w:rsidR="00E10F35" w:rsidRDefault="00E10F35" w:rsidP="00344120">
                  <w:pPr>
                    <w:framePr w:hSpace="180" w:wrap="around" w:vAnchor="text" w:hAnchor="margin" w:xAlign="center" w:y="-6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98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154.917,00</w:t>
                  </w:r>
                </w:p>
              </w:tc>
              <w:tc>
                <w:tcPr>
                  <w:tcW w:w="17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31 405,00</w:t>
                  </w:r>
                </w:p>
              </w:tc>
              <w:tc>
                <w:tcPr>
                  <w:tcW w:w="14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67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186 322,00</w:t>
                  </w:r>
                </w:p>
              </w:tc>
            </w:tr>
            <w:tr w:rsidR="00E10F35">
              <w:tc>
                <w:tcPr>
                  <w:tcW w:w="190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1502 Predfinanciranje EU projekata</w:t>
                  </w:r>
                </w:p>
              </w:tc>
              <w:tc>
                <w:tcPr>
                  <w:tcW w:w="1798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29 735,00</w:t>
                  </w:r>
                </w:p>
              </w:tc>
              <w:tc>
                <w:tcPr>
                  <w:tcW w:w="17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- 3 018,00</w:t>
                  </w:r>
                </w:p>
              </w:tc>
              <w:tc>
                <w:tcPr>
                  <w:tcW w:w="14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4 736,00</w:t>
                  </w:r>
                </w:p>
              </w:tc>
              <w:tc>
                <w:tcPr>
                  <w:tcW w:w="167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31 453,00</w:t>
                  </w:r>
                </w:p>
              </w:tc>
            </w:tr>
            <w:tr w:rsidR="00E10F35">
              <w:tc>
                <w:tcPr>
                  <w:tcW w:w="190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3102 Vlastiti prihodi</w:t>
                  </w:r>
                </w:p>
                <w:p w:rsidR="00E10F35" w:rsidRDefault="00E10F35" w:rsidP="00344120">
                  <w:pPr>
                    <w:framePr w:hSpace="180" w:wrap="around" w:vAnchor="text" w:hAnchor="margin" w:xAlign="center" w:y="-6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98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700,00</w:t>
                  </w:r>
                </w:p>
              </w:tc>
              <w:tc>
                <w:tcPr>
                  <w:tcW w:w="17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4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67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700,00</w:t>
                  </w:r>
                </w:p>
              </w:tc>
            </w:tr>
            <w:tr w:rsidR="00E10F35">
              <w:tc>
                <w:tcPr>
                  <w:tcW w:w="190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4302 Ostali prihodi posebne namjene</w:t>
                  </w:r>
                </w:p>
              </w:tc>
              <w:tc>
                <w:tcPr>
                  <w:tcW w:w="1798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14 600,00</w:t>
                  </w:r>
                </w:p>
              </w:tc>
              <w:tc>
                <w:tcPr>
                  <w:tcW w:w="17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4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2 400,00</w:t>
                  </w:r>
                </w:p>
              </w:tc>
              <w:tc>
                <w:tcPr>
                  <w:tcW w:w="167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17 000,00</w:t>
                  </w:r>
                </w:p>
              </w:tc>
            </w:tr>
            <w:tr w:rsidR="00E10F35">
              <w:tc>
                <w:tcPr>
                  <w:tcW w:w="190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5102 Pomoći EU</w:t>
                  </w:r>
                </w:p>
                <w:p w:rsidR="00E10F35" w:rsidRDefault="00E10F35" w:rsidP="00344120">
                  <w:pPr>
                    <w:framePr w:hSpace="180" w:wrap="around" w:vAnchor="text" w:hAnchor="margin" w:xAlign="center" w:y="-6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98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7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4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47 900,00</w:t>
                  </w:r>
                </w:p>
              </w:tc>
              <w:tc>
                <w:tcPr>
                  <w:tcW w:w="167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47 900,00</w:t>
                  </w:r>
                </w:p>
              </w:tc>
            </w:tr>
            <w:tr w:rsidR="00E10F35">
              <w:tc>
                <w:tcPr>
                  <w:tcW w:w="190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5202 Pomoći iz proračuna</w:t>
                  </w:r>
                </w:p>
                <w:p w:rsidR="00E10F35" w:rsidRDefault="00E10F35" w:rsidP="00344120">
                  <w:pPr>
                    <w:framePr w:hSpace="180" w:wrap="around" w:vAnchor="text" w:hAnchor="margin" w:xAlign="center" w:y="-6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98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1 461 680,00</w:t>
                  </w:r>
                </w:p>
              </w:tc>
              <w:tc>
                <w:tcPr>
                  <w:tcW w:w="17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bCs/>
                      <w:sz w:val="20"/>
                    </w:rPr>
                    <w:t>-9,00</w:t>
                  </w:r>
                </w:p>
              </w:tc>
              <w:tc>
                <w:tcPr>
                  <w:tcW w:w="14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245 808,00</w:t>
                  </w:r>
                </w:p>
              </w:tc>
              <w:tc>
                <w:tcPr>
                  <w:tcW w:w="167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bCs/>
                      <w:sz w:val="20"/>
                    </w:rPr>
                    <w:t>1 707 471,00</w:t>
                  </w:r>
                </w:p>
              </w:tc>
            </w:tr>
            <w:tr w:rsidR="00E10F35">
              <w:tc>
                <w:tcPr>
                  <w:tcW w:w="1900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6102 OŠ Donacije</w:t>
                  </w:r>
                </w:p>
                <w:p w:rsidR="00E10F35" w:rsidRDefault="00E10F35" w:rsidP="00344120">
                  <w:pPr>
                    <w:framePr w:hSpace="180" w:wrap="around" w:vAnchor="text" w:hAnchor="margin" w:xAlign="center" w:y="-6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98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200,00</w:t>
                  </w:r>
                </w:p>
              </w:tc>
              <w:tc>
                <w:tcPr>
                  <w:tcW w:w="17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487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830,00</w:t>
                  </w:r>
                </w:p>
              </w:tc>
              <w:tc>
                <w:tcPr>
                  <w:tcW w:w="1676" w:type="dxa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1 030,00</w:t>
                  </w:r>
                </w:p>
              </w:tc>
            </w:tr>
            <w:bookmarkEnd w:id="0"/>
          </w:tbl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AD4924">
            <w:pPr>
              <w:rPr>
                <w:bCs/>
                <w:szCs w:val="24"/>
              </w:rPr>
            </w:pPr>
            <w:r>
              <w:rPr>
                <w:szCs w:val="24"/>
              </w:rPr>
              <w:t>U</w:t>
            </w:r>
            <w:r>
              <w:rPr>
                <w:bCs/>
                <w:szCs w:val="24"/>
              </w:rPr>
              <w:t xml:space="preserve"> tablici su iskazani pokazatelji uspješnosti u odnosu na polaznu vrijednost.</w:t>
            </w:r>
          </w:p>
          <w:p w:rsidR="00E10F35" w:rsidRDefault="00E10F35">
            <w:pPr>
              <w:pBdr>
                <w:right w:val="single" w:sz="4" w:space="1" w:color="auto"/>
              </w:pBdr>
              <w:rPr>
                <w:sz w:val="20"/>
              </w:rPr>
            </w:pPr>
          </w:p>
          <w:p w:rsidR="00E10F35" w:rsidRDefault="00E10F35">
            <w:pPr>
              <w:pStyle w:val="Bezproreda1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tbl>
            <w:tblPr>
              <w:tblW w:w="51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39"/>
              <w:gridCol w:w="1444"/>
              <w:gridCol w:w="1817"/>
            </w:tblGrid>
            <w:tr w:rsidR="00E10F35">
              <w:trPr>
                <w:cantSplit/>
                <w:trHeight w:val="557"/>
                <w:jc w:val="center"/>
              </w:trPr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Pokazatelj uspješnosti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Polazna</w:t>
                  </w:r>
                </w:p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vrijednost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Ciljana</w:t>
                  </w:r>
                </w:p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vrijednost</w:t>
                  </w:r>
                </w:p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2025.</w:t>
                  </w:r>
                </w:p>
              </w:tc>
            </w:tr>
            <w:tr w:rsidR="00E10F35">
              <w:trPr>
                <w:cantSplit/>
                <w:trHeight w:val="1114"/>
                <w:jc w:val="center"/>
              </w:trPr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Za aktivnost pod brojem 3. - broj upisanih učenika 1. razreda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62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80</w:t>
                  </w:r>
                </w:p>
              </w:tc>
            </w:tr>
            <w:tr w:rsidR="00E10F35">
              <w:trPr>
                <w:cantSplit/>
                <w:trHeight w:val="1478"/>
                <w:jc w:val="center"/>
              </w:trPr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Za aktivnost pod brojem 3. - broj učeničkih uplata za pojačane učeničke troškove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163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180</w:t>
                  </w:r>
                </w:p>
              </w:tc>
            </w:tr>
            <w:tr w:rsidR="00E10F35">
              <w:trPr>
                <w:cantSplit/>
                <w:trHeight w:val="1114"/>
                <w:jc w:val="center"/>
              </w:trPr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Za aktivnost pod brojem 3. – izdavanje duplikata svjedodžbi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40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45</w:t>
                  </w:r>
                </w:p>
              </w:tc>
            </w:tr>
            <w:tr w:rsidR="00E10F35">
              <w:trPr>
                <w:cantSplit/>
                <w:trHeight w:val="1486"/>
                <w:jc w:val="center"/>
              </w:trPr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Za aktivnost pod brojem 7. – zajedno do znanja uz više elana VI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 – nastavak i daljnje potrebe za pomoćnikom u nastavi za školsku godinu 2025./2026.</w:t>
                  </w:r>
                </w:p>
              </w:tc>
            </w:tr>
            <w:tr w:rsidR="00E10F35">
              <w:trPr>
                <w:cantSplit/>
                <w:trHeight w:val="2229"/>
                <w:jc w:val="center"/>
              </w:trPr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Za aktivnost pod brojem 8. – realizacija projekata</w:t>
                  </w:r>
                </w:p>
                <w:p w:rsidR="00E10F35" w:rsidRDefault="00E10F35" w:rsidP="00344120">
                  <w:pPr>
                    <w:framePr w:hSpace="180" w:wrap="around" w:vAnchor="text" w:hAnchor="margin" w:xAlign="center" w:y="-66"/>
                    <w:rPr>
                      <w:szCs w:val="24"/>
                    </w:rPr>
                  </w:pP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1 -Realizacija u cjelokupnom iznosu od 47 900,00 eura te mogućnost stjecanja sredstava za provedbu novog Eu projekta</w:t>
                  </w:r>
                </w:p>
              </w:tc>
            </w:tr>
            <w:tr w:rsidR="00E10F35">
              <w:trPr>
                <w:cantSplit/>
                <w:trHeight w:val="2229"/>
                <w:jc w:val="center"/>
              </w:trPr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Za aktivnost pod brojem 9. – realizacija projekata</w:t>
                  </w:r>
                </w:p>
                <w:p w:rsidR="00E10F35" w:rsidRDefault="00E10F35" w:rsidP="00344120">
                  <w:pPr>
                    <w:framePr w:hSpace="180" w:wrap="around" w:vAnchor="text" w:hAnchor="margin" w:xAlign="center" w:y="-66"/>
                    <w:rPr>
                      <w:szCs w:val="24"/>
                    </w:rPr>
                  </w:pP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F35" w:rsidRDefault="00AD4924" w:rsidP="00344120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1 -Realizacija u cjelokupnom iznosu od 9 317,00 eura te mogućnost stjecanja sredstava za provedbu novog Eu projekta</w:t>
                  </w:r>
                </w:p>
              </w:tc>
            </w:tr>
          </w:tbl>
          <w:p w:rsidR="00E10F35" w:rsidRDefault="00E10F35">
            <w:pPr>
              <w:pStyle w:val="Bezproreda1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:rsidR="00E10F35" w:rsidRDefault="00E10F35">
            <w:pPr>
              <w:pStyle w:val="Bezproreda1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:rsidR="00E10F35" w:rsidRDefault="00E10F35">
            <w:pPr>
              <w:pStyle w:val="Bezproreda1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:rsidR="00E10F35" w:rsidRDefault="00E10F35">
            <w:pPr>
              <w:pStyle w:val="Bezproreda1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:rsidR="00E10F35" w:rsidRDefault="00E10F35">
            <w:pPr>
              <w:pStyle w:val="Bezproreda1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:rsidR="00E10F35" w:rsidRDefault="00E10F35">
            <w:pPr>
              <w:pStyle w:val="Bezproreda1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:rsidR="00E10F35" w:rsidRDefault="00E10F35">
            <w:pPr>
              <w:pStyle w:val="Bezproreda1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:rsidR="00E10F35" w:rsidRDefault="00E10F35">
            <w:pPr>
              <w:pStyle w:val="Bezproreda1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:rsidR="00E10F35" w:rsidRDefault="00AD4924">
            <w:pPr>
              <w:pBdr>
                <w:right w:val="single" w:sz="4" w:space="1" w:color="auto"/>
              </w:pBdr>
              <w:rPr>
                <w:b/>
                <w:szCs w:val="24"/>
              </w:rPr>
            </w:pPr>
            <w:r>
              <w:rPr>
                <w:b/>
                <w:szCs w:val="24"/>
              </w:rPr>
              <w:t>Knin, 26.9.2025. godine</w:t>
            </w: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sz w:val="20"/>
              </w:rPr>
            </w:pPr>
          </w:p>
          <w:p w:rsidR="00E10F35" w:rsidRDefault="00AD4924">
            <w:pPr>
              <w:pBdr>
                <w:right w:val="single" w:sz="4" w:space="1" w:color="auto"/>
              </w:pBdr>
              <w:rPr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                                                                                                                         </w:t>
            </w:r>
            <w:r>
              <w:rPr>
                <w:b/>
                <w:szCs w:val="24"/>
              </w:rPr>
              <w:t>Ravnatelj</w:t>
            </w:r>
          </w:p>
          <w:p w:rsidR="00E10F35" w:rsidRDefault="00AD4924">
            <w:pPr>
              <w:pBdr>
                <w:right w:val="single" w:sz="4" w:space="1" w:color="auto"/>
              </w:pBd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Milivoj Ilić, dipl.ing.</w:t>
            </w: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:rsidR="00E10F35" w:rsidRDefault="00E10F35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:rsidR="00E10F35" w:rsidRPr="0002377B" w:rsidRDefault="00E10F35" w:rsidP="0002377B">
      <w:pPr>
        <w:tabs>
          <w:tab w:val="left" w:pos="6900"/>
        </w:tabs>
        <w:rPr>
          <w:sz w:val="2"/>
          <w:szCs w:val="2"/>
        </w:rPr>
      </w:pPr>
      <w:bookmarkStart w:id="1" w:name="_GoBack"/>
      <w:bookmarkEnd w:id="1"/>
    </w:p>
    <w:sectPr w:rsidR="00E10F35" w:rsidRPr="0002377B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924" w:rsidRDefault="00AD4924">
      <w:r>
        <w:separator/>
      </w:r>
    </w:p>
  </w:endnote>
  <w:endnote w:type="continuationSeparator" w:id="0">
    <w:p w:rsidR="00AD4924" w:rsidRDefault="00AD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35" w:rsidRDefault="00AD4924">
    <w:pPr>
      <w:pStyle w:val="Podnoje"/>
      <w:framePr w:dropCap="none" w:lines="1"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10F35" w:rsidRDefault="00E10F3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838615"/>
      <w:docPartObj>
        <w:docPartGallery w:val="Page Numbers (Bottom of Page)"/>
        <w:docPartUnique/>
      </w:docPartObj>
    </w:sdtPr>
    <w:sdtContent>
      <w:p w:rsidR="0002377B" w:rsidRDefault="0002377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C6D">
          <w:rPr>
            <w:noProof/>
          </w:rPr>
          <w:t>6</w:t>
        </w:r>
        <w:r>
          <w:fldChar w:fldCharType="end"/>
        </w:r>
      </w:p>
    </w:sdtContent>
  </w:sdt>
  <w:p w:rsidR="00E10F35" w:rsidRDefault="00E10F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924" w:rsidRDefault="00AD4924">
      <w:r>
        <w:separator/>
      </w:r>
    </w:p>
  </w:footnote>
  <w:footnote w:type="continuationSeparator" w:id="0">
    <w:p w:rsidR="00AD4924" w:rsidRDefault="00AD4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F8B"/>
    <w:multiLevelType w:val="multilevel"/>
    <w:tmpl w:val="49D6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multilevel"/>
    <w:tmpl w:val="69C08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multilevel"/>
    <w:tmpl w:val="98F6BD70"/>
    <w:lvl w:ilvl="0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D4224"/>
    <w:multiLevelType w:val="multilevel"/>
    <w:tmpl w:val="22DEFCF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D4DD4"/>
    <w:multiLevelType w:val="multilevel"/>
    <w:tmpl w:val="AC328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67EB0"/>
    <w:multiLevelType w:val="multilevel"/>
    <w:tmpl w:val="A204E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C5703"/>
    <w:multiLevelType w:val="multilevel"/>
    <w:tmpl w:val="8F5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51C08"/>
    <w:multiLevelType w:val="multilevel"/>
    <w:tmpl w:val="4434CC1C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7CD1"/>
    <w:multiLevelType w:val="multilevel"/>
    <w:tmpl w:val="F4983078"/>
    <w:lvl w:ilvl="0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9" w15:restartNumberingAfterBreak="0">
    <w:nsid w:val="264A2168"/>
    <w:multiLevelType w:val="multilevel"/>
    <w:tmpl w:val="BF12A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A3686"/>
    <w:multiLevelType w:val="multilevel"/>
    <w:tmpl w:val="115C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00ECA"/>
    <w:multiLevelType w:val="multilevel"/>
    <w:tmpl w:val="402EA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834A6"/>
    <w:multiLevelType w:val="multilevel"/>
    <w:tmpl w:val="7FAE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62C72"/>
    <w:multiLevelType w:val="multilevel"/>
    <w:tmpl w:val="D304E676"/>
    <w:lvl w:ilvl="0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2F7A1976"/>
    <w:multiLevelType w:val="multilevel"/>
    <w:tmpl w:val="BEDEF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4C0F53"/>
    <w:multiLevelType w:val="multilevel"/>
    <w:tmpl w:val="BD8AD7C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C13E4"/>
    <w:multiLevelType w:val="multilevel"/>
    <w:tmpl w:val="94E8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86204"/>
    <w:multiLevelType w:val="multilevel"/>
    <w:tmpl w:val="DFF0B8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943BA"/>
    <w:multiLevelType w:val="multilevel"/>
    <w:tmpl w:val="99D4CC8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0391C"/>
    <w:multiLevelType w:val="multilevel"/>
    <w:tmpl w:val="22DE29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3171B9"/>
    <w:multiLevelType w:val="multilevel"/>
    <w:tmpl w:val="C096E7E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873DA"/>
    <w:multiLevelType w:val="multilevel"/>
    <w:tmpl w:val="C388E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00B56"/>
    <w:multiLevelType w:val="multilevel"/>
    <w:tmpl w:val="4090626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40B2271A"/>
    <w:multiLevelType w:val="multilevel"/>
    <w:tmpl w:val="4112B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5911C3"/>
    <w:multiLevelType w:val="multilevel"/>
    <w:tmpl w:val="B078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80BA8"/>
    <w:multiLevelType w:val="multilevel"/>
    <w:tmpl w:val="1C14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F0CFF"/>
    <w:multiLevelType w:val="multilevel"/>
    <w:tmpl w:val="505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B4EB8"/>
    <w:multiLevelType w:val="multilevel"/>
    <w:tmpl w:val="E4041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85D5F"/>
    <w:multiLevelType w:val="multilevel"/>
    <w:tmpl w:val="8B0E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125CA"/>
    <w:multiLevelType w:val="multilevel"/>
    <w:tmpl w:val="1750C8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713FA"/>
    <w:multiLevelType w:val="multilevel"/>
    <w:tmpl w:val="6FD4A46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4A2A91"/>
    <w:multiLevelType w:val="multilevel"/>
    <w:tmpl w:val="6C86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3569A"/>
    <w:multiLevelType w:val="multilevel"/>
    <w:tmpl w:val="CF2C415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132CF3"/>
    <w:multiLevelType w:val="multilevel"/>
    <w:tmpl w:val="742C5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73FD7"/>
    <w:multiLevelType w:val="multilevel"/>
    <w:tmpl w:val="2E6C495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114ED"/>
    <w:multiLevelType w:val="multilevel"/>
    <w:tmpl w:val="7042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2C3D91"/>
    <w:multiLevelType w:val="multilevel"/>
    <w:tmpl w:val="878C8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23F3C"/>
    <w:multiLevelType w:val="multilevel"/>
    <w:tmpl w:val="5E60FC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D03D1D"/>
    <w:multiLevelType w:val="multilevel"/>
    <w:tmpl w:val="2FC29A4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237342"/>
    <w:multiLevelType w:val="multilevel"/>
    <w:tmpl w:val="BABE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B4FC9"/>
    <w:multiLevelType w:val="multilevel"/>
    <w:tmpl w:val="4180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7564A"/>
    <w:multiLevelType w:val="multilevel"/>
    <w:tmpl w:val="3DE617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02C4C"/>
    <w:multiLevelType w:val="multilevel"/>
    <w:tmpl w:val="862E3100"/>
    <w:lvl w:ilvl="0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876FF"/>
    <w:multiLevelType w:val="multilevel"/>
    <w:tmpl w:val="2D6A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1525E"/>
    <w:multiLevelType w:val="multilevel"/>
    <w:tmpl w:val="49B4D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35"/>
    <w:rsid w:val="0002377B"/>
    <w:rsid w:val="00255D38"/>
    <w:rsid w:val="00344120"/>
    <w:rsid w:val="00A27C6D"/>
    <w:rsid w:val="00AD4924"/>
    <w:rsid w:val="00E10F35"/>
    <w:rsid w:val="00F5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90C19"/>
  <w15:docId w15:val="{AFD43447-7572-4E0D-BC3C-F7BFF871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i/>
      <w:iCs/>
      <w:u w:val="single"/>
      <w:lang w:val="hr-HR" w:eastAsia="en-US" w:bidi="ar-SA"/>
    </w:rPr>
  </w:style>
  <w:style w:type="character" w:customStyle="1" w:styleId="Naslov2Char">
    <w:name w:val="Naslov 2 Char"/>
    <w:basedOn w:val="Zadanifontodlomka"/>
    <w:link w:val="Naslov2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basedOn w:val="Zadanifontodlomka"/>
    <w:link w:val="Naslov3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basedOn w:val="Zadanifontodlomka"/>
    <w:link w:val="Naslov4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basedOn w:val="Zadanifontodlomka"/>
    <w:link w:val="Naslov5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basedOn w:val="Zadanifontodlomka"/>
    <w:link w:val="Naslov6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basedOn w:val="Zadanifontodlomka"/>
    <w:link w:val="Naslov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basedOn w:val="Zadanifontodlomka"/>
    <w:link w:val="Naslov8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basedOn w:val="Zadanifontodlomka"/>
    <w:link w:val="Naslov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pPr>
      <w:ind w:firstLine="720"/>
    </w:pPr>
    <w:rPr>
      <w:sz w:val="20"/>
    </w:rPr>
  </w:style>
  <w:style w:type="character" w:customStyle="1" w:styleId="UvuenotijelotekstaChar">
    <w:name w:val="Uvučeno tijelo teksta Char"/>
    <w:basedOn w:val="Zadanifontodlomka"/>
    <w:rPr>
      <w:lang w:val="hr-HR" w:eastAsia="en-US" w:bidi="ar-SA"/>
    </w:rPr>
  </w:style>
  <w:style w:type="paragraph" w:customStyle="1" w:styleId="xl52">
    <w:name w:val="xl52"/>
    <w:basedOn w:val="Normal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basedOn w:val="Normal"/>
    <w:link w:val="TijelotekstaChar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basedOn w:val="Zadanifontodlomka"/>
    <w:uiPriority w:val="99"/>
    <w:rPr>
      <w:rFonts w:eastAsia="Calibri"/>
      <w:sz w:val="24"/>
      <w:lang w:val="hr-HR" w:eastAsia="en-US" w:bidi="ar-SA"/>
    </w:rPr>
  </w:style>
  <w:style w:type="character" w:styleId="Brojstranice">
    <w:name w:val="page number"/>
    <w:basedOn w:val="Zadanifontodlomka"/>
    <w:rPr>
      <w:rFonts w:cs="Times New Roman"/>
    </w:rPr>
  </w:style>
  <w:style w:type="paragraph" w:styleId="StandardWeb">
    <w:name w:val="Normal (Web)"/>
    <w:basedOn w:val="Normal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basedOn w:val="Zadanifontodlomka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customStyle="1" w:styleId="Heading1Char2">
    <w:name w:val="Heading 1 Char2"/>
    <w:basedOn w:val="Zadanifontodlomka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basedOn w:val="Zadanifontodlomka"/>
    <w:rPr>
      <w:i/>
      <w:iCs/>
      <w:u w:val="single"/>
      <w:lang w:val="hr-HR" w:eastAsia="en-US" w:bidi="ar-SA"/>
    </w:rPr>
  </w:style>
  <w:style w:type="character" w:customStyle="1" w:styleId="CharChar20">
    <w:name w:val="Char Char20"/>
    <w:basedOn w:val="Zadanifontodlomk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basedOn w:val="Zadanifontodlomka"/>
    <w:rPr>
      <w:sz w:val="24"/>
      <w:lang w:val="hr-HR" w:eastAsia="en-US" w:bidi="ar-SA"/>
    </w:rPr>
  </w:style>
  <w:style w:type="character" w:customStyle="1" w:styleId="CharChar10">
    <w:name w:val="Char Char10"/>
    <w:basedOn w:val="Zadanifontodlomka"/>
    <w:rPr>
      <w:sz w:val="24"/>
      <w:lang w:val="hr-HR" w:eastAsia="en-US" w:bidi="ar-SA"/>
    </w:rPr>
  </w:style>
  <w:style w:type="character" w:customStyle="1" w:styleId="CharChar17">
    <w:name w:val="Char Char17"/>
    <w:basedOn w:val="Zadanifontodlomka"/>
    <w:rPr>
      <w:i/>
      <w:iCs/>
      <w:u w:val="single"/>
      <w:lang w:val="hr-HR" w:eastAsia="en-US" w:bidi="ar-SA"/>
    </w:rPr>
  </w:style>
  <w:style w:type="character" w:customStyle="1" w:styleId="CharChar11">
    <w:name w:val="Char Char11"/>
    <w:basedOn w:val="Zadanifontodlomk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basedOn w:val="Zadanifontodlomka"/>
    <w:rPr>
      <w:sz w:val="24"/>
      <w:lang w:val="hr-HR" w:eastAsia="en-US" w:bidi="ar-SA"/>
    </w:rPr>
  </w:style>
  <w:style w:type="character" w:customStyle="1" w:styleId="CharChar5">
    <w:name w:val="Char Char5"/>
    <w:basedOn w:val="Zadanifontodlomka"/>
    <w:rPr>
      <w:sz w:val="24"/>
      <w:lang w:val="hr-HR" w:eastAsia="en-US" w:bidi="ar-SA"/>
    </w:rPr>
  </w:style>
  <w:style w:type="character" w:customStyle="1" w:styleId="Heading1Char">
    <w:name w:val="Heading 1 Char"/>
    <w:basedOn w:val="Zadanifontodlomka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basedOn w:val="Zadanifontodlomka"/>
    <w:rPr>
      <w:rFonts w:ascii="Arial" w:hAnsi="Arial" w:cs="Arial"/>
      <w:b/>
      <w:bCs/>
      <w:sz w:val="20"/>
      <w:szCs w:val="20"/>
      <w:lang w:eastAsia="hr-HR"/>
    </w:rPr>
  </w:style>
  <w:style w:type="character" w:customStyle="1" w:styleId="BodyTextIndentChar">
    <w:name w:val="Body Text Indent Char"/>
    <w:basedOn w:val="Zadanifontodlomka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Pr>
      <w:rFonts w:eastAsia="Calibri"/>
      <w:i/>
      <w:lang w:eastAsia="hr-HR"/>
    </w:rPr>
  </w:style>
  <w:style w:type="character" w:customStyle="1" w:styleId="Tijeloteksta2Char">
    <w:name w:val="Tijelo teksta 2 Char"/>
    <w:basedOn w:val="Zadanifontodlomka"/>
    <w:link w:val="Tijeloteksta2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basedOn w:val="Zadanifontodlomka"/>
    <w:link w:val="Tijeloteksta-uvlaka2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basedOn w:val="Normal"/>
    <w:link w:val="Tijeloteksta-uvlaka3Char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basedOn w:val="Zadanifontodlomka"/>
    <w:link w:val="Tijeloteksta-uvlaka3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semiHidden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semiHidden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basedOn w:val="Zadanifontodlomka"/>
    <w:link w:val="Naslov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basedOn w:val="Zadanifontodlomka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basedOn w:val="Zadanifontodlomka"/>
    <w:rPr>
      <w:rFonts w:cs="Times New Roman"/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basedOn w:val="Zadanifontodlomka"/>
    <w:qFormat/>
    <w:rPr>
      <w:rFonts w:cs="Times New Roman"/>
      <w:b/>
      <w:bCs/>
    </w:rPr>
  </w:style>
  <w:style w:type="character" w:customStyle="1" w:styleId="uvlaka2CharChar">
    <w:name w:val="uvlaka 2 Char Char"/>
    <w:basedOn w:val="Zadanifontodlomka"/>
    <w:rPr>
      <w:lang w:val="pl-PL" w:eastAsia="en-US"/>
    </w:rPr>
  </w:style>
  <w:style w:type="character" w:customStyle="1" w:styleId="CharChar170">
    <w:name w:val="Char Char17_0"/>
    <w:basedOn w:val="Zadanifontodlomka"/>
    <w:rPr>
      <w:i/>
      <w:u w:val="single"/>
      <w:lang w:val="hr-HR" w:eastAsia="en-US"/>
    </w:rPr>
  </w:style>
  <w:style w:type="character" w:customStyle="1" w:styleId="CharChar110">
    <w:name w:val="Char Char11_0"/>
    <w:basedOn w:val="Zadanifontodlomka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basedOn w:val="Zadanifontodlomka"/>
    <w:rPr>
      <w:lang w:val="hr-HR" w:eastAsia="en-US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character" w:customStyle="1" w:styleId="CharChar60">
    <w:name w:val="Char Char6_0"/>
    <w:basedOn w:val="Zadanifontodlomka"/>
    <w:rPr>
      <w:sz w:val="24"/>
      <w:lang w:val="hr-HR" w:eastAsia="en-US"/>
    </w:rPr>
  </w:style>
  <w:style w:type="character" w:customStyle="1" w:styleId="CharChar50">
    <w:name w:val="Char Char5_0"/>
    <w:basedOn w:val="Zadanifontodlomka"/>
    <w:rPr>
      <w:sz w:val="24"/>
      <w:lang w:val="hr-HR" w:eastAsia="en-US"/>
    </w:rPr>
  </w:style>
  <w:style w:type="character" w:customStyle="1" w:styleId="CharChar18">
    <w:name w:val="Char Char18"/>
    <w:basedOn w:val="Zadanifontodlomka"/>
    <w:rPr>
      <w:i/>
      <w:u w:val="single"/>
      <w:lang w:val="hr-HR" w:eastAsia="en-US"/>
    </w:rPr>
  </w:style>
  <w:style w:type="character" w:customStyle="1" w:styleId="CharChar12">
    <w:name w:val="Char Char12"/>
    <w:basedOn w:val="Zadanifontodlomka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basedOn w:val="Zadanifontodlomka"/>
    <w:rPr>
      <w:sz w:val="24"/>
      <w:lang w:val="hr-HR" w:eastAsia="en-US"/>
    </w:rPr>
  </w:style>
  <w:style w:type="character" w:customStyle="1" w:styleId="Heading1Char1">
    <w:name w:val="Heading 1 Char1"/>
    <w:basedOn w:val="Zadanifontodlomka"/>
    <w:rPr>
      <w:i/>
      <w:u w:val="single"/>
      <w:lang w:val="hr-HR" w:eastAsia="en-US"/>
    </w:rPr>
  </w:style>
  <w:style w:type="paragraph" w:customStyle="1" w:styleId="Tekstkomentara1">
    <w:name w:val="Tekst komentara1"/>
    <w:basedOn w:val="Normal"/>
    <w:link w:val="TekstkomentaraChar"/>
    <w:rPr>
      <w:rFonts w:eastAsia="Calibri"/>
      <w:sz w:val="20"/>
    </w:rPr>
  </w:style>
  <w:style w:type="character" w:customStyle="1" w:styleId="TekstkomentaraChar">
    <w:name w:val="Tekst komentara Char"/>
    <w:basedOn w:val="Zadanifontodlomka"/>
    <w:link w:val="Tekstkomentara1"/>
    <w:rPr>
      <w:rFonts w:eastAsia="Calibri"/>
      <w:lang w:val="hr-HR" w:eastAsia="en-US" w:bidi="ar-SA"/>
    </w:rPr>
  </w:style>
  <w:style w:type="character" w:customStyle="1" w:styleId="CharChar15">
    <w:name w:val="Char Char15"/>
    <w:basedOn w:val="Zadanifontodlomka"/>
    <w:rPr>
      <w:b/>
      <w:bCs/>
      <w:lang w:val="pl-PL" w:eastAsia="en-US" w:bidi="ar-SA"/>
    </w:rPr>
  </w:style>
  <w:style w:type="character" w:customStyle="1" w:styleId="CharChar14">
    <w:name w:val="Char Char14"/>
    <w:basedOn w:val="Zadanifontodlomka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_0"/>
    <w:basedOn w:val="Zadanifontodlomka"/>
    <w:rPr>
      <w:b/>
      <w:bCs/>
      <w:sz w:val="16"/>
      <w:lang w:val="hr-HR" w:eastAsia="en-US" w:bidi="ar-SA"/>
    </w:rPr>
  </w:style>
  <w:style w:type="character" w:customStyle="1" w:styleId="CharChar9">
    <w:name w:val="Char Char9"/>
    <w:basedOn w:val="Zadanifontodlomka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_0"/>
    <w:basedOn w:val="Zadanifontodlomka"/>
    <w:rPr>
      <w:lang w:val="hr-HR" w:eastAsia="en-US" w:bidi="ar-SA"/>
    </w:rPr>
  </w:style>
  <w:style w:type="character" w:customStyle="1" w:styleId="CharChar70">
    <w:name w:val="Char Char7_0"/>
    <w:basedOn w:val="Zadanifontodlomka"/>
    <w:rPr>
      <w:i/>
      <w:sz w:val="24"/>
      <w:lang w:val="hr-HR" w:eastAsia="hr-HR" w:bidi="ar-SA"/>
    </w:rPr>
  </w:style>
  <w:style w:type="character" w:customStyle="1" w:styleId="CharChar4">
    <w:name w:val="Char Char4"/>
    <w:basedOn w:val="Zadanifontodlomka"/>
    <w:rPr>
      <w:sz w:val="24"/>
      <w:lang w:val="hr-HR" w:eastAsia="en-US" w:bidi="ar-SA"/>
    </w:rPr>
  </w:style>
  <w:style w:type="character" w:customStyle="1" w:styleId="uvlaka2CharChar1">
    <w:name w:val="uvlaka 2 Char Char1"/>
    <w:basedOn w:val="Zadanifontodlomka"/>
    <w:rPr>
      <w:lang w:val="pl-PL" w:eastAsia="en-US" w:bidi="ar-SA"/>
    </w:rPr>
  </w:style>
  <w:style w:type="character" w:customStyle="1" w:styleId="CharChar2">
    <w:name w:val="Char Char2"/>
    <w:basedOn w:val="Zadanifontodlomka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semiHidden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00">
    <w:name w:val="Char Char1_0"/>
    <w:basedOn w:val="Zadanifontodlomka"/>
    <w:rPr>
      <w:i/>
      <w:iCs/>
      <w:u w:val="single"/>
      <w:lang w:val="hr-HR" w:eastAsia="en-US" w:bidi="ar-SA"/>
    </w:rPr>
  </w:style>
  <w:style w:type="character" w:customStyle="1" w:styleId="uvlaka2CharChar0">
    <w:name w:val="uvlaka 2 Char Char_0"/>
    <w:basedOn w:val="Zadanifontodlomka"/>
    <w:rPr>
      <w:lang w:val="pl-PL" w:eastAsia="en-US" w:bidi="ar-SA"/>
    </w:rPr>
  </w:style>
  <w:style w:type="paragraph" w:customStyle="1" w:styleId="Bezproreda1">
    <w:name w:val="Bez proreda1"/>
    <w:uiPriority w:val="1"/>
    <w:qFormat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Pr>
      <w:rFonts w:ascii="Calibri" w:eastAsia="Calibri" w:hAnsi="Calibr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strukovna-kralja-zvonimira-kn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0B4E-9266-40C4-B466-49026C47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Racunovodstvo</cp:lastModifiedBy>
  <cp:revision>6</cp:revision>
  <cp:lastPrinted>2024-07-25T07:32:00Z</cp:lastPrinted>
  <dcterms:created xsi:type="dcterms:W3CDTF">2025-09-30T07:11:00Z</dcterms:created>
  <dcterms:modified xsi:type="dcterms:W3CDTF">2025-09-30T08:08:00Z</dcterms:modified>
</cp:coreProperties>
</file>