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C2" w:rsidRDefault="00284767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  <w:t>OBRAZLOŽENJE UZ POLUGODIŠNJI IZVJEŠTAJ O IZVRŠENJU FINANCIJSKOG PLANA SREDNJE STRUKOVNE ŠKOLE KRALJA ZVONIMIRA KNIN ZA 202</w:t>
      </w:r>
      <w:r w:rsidR="00850C1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  <w:t>5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  <w:t>. GODINU</w:t>
      </w:r>
    </w:p>
    <w:tbl>
      <w:tblPr>
        <w:tblStyle w:val="Reetkatablice"/>
        <w:tblpPr w:leftFromText="180" w:rightFromText="180" w:vertAnchor="page" w:horzAnchor="margin" w:tblpY="4549"/>
        <w:tblW w:w="8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3328"/>
      </w:tblGrid>
      <w:tr w:rsidR="000D0EC2">
        <w:trPr>
          <w:trHeight w:val="492"/>
        </w:trPr>
        <w:tc>
          <w:tcPr>
            <w:tcW w:w="4958" w:type="dxa"/>
          </w:tcPr>
          <w:p w:rsidR="000D0EC2" w:rsidRDefault="002847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Srednja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strukovna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škola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kralja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Zvonimira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Ikičina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30, 22300 </w:t>
            </w:r>
            <w:proofErr w:type="spellStart"/>
            <w:r>
              <w:rPr>
                <w:rFonts w:ascii="Times New Roman" w:hAnsi="Times New Roman" w:cs="Times New Roman"/>
              </w:rPr>
              <w:t>Knin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400-03/24-01/2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2182-50-24-1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="00D92098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D92098">
              <w:rPr>
                <w:rFonts w:ascii="Times New Roman" w:hAnsi="Times New Roman" w:cs="Times New Roman"/>
              </w:rPr>
              <w:t>Knin</w:t>
            </w:r>
            <w:proofErr w:type="spellEnd"/>
            <w:r w:rsidR="00D92098">
              <w:rPr>
                <w:rFonts w:ascii="Times New Roman" w:hAnsi="Times New Roman" w:cs="Times New Roman"/>
              </w:rPr>
              <w:t xml:space="preserve">, </w:t>
            </w:r>
          </w:p>
          <w:p w:rsidR="000D0EC2" w:rsidRDefault="000D0E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</w:tcPr>
          <w:p w:rsidR="000D0EC2" w:rsidRDefault="002847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284767">
      <w:pPr>
        <w:spacing w:line="240" w:lineRule="auto"/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  <w:t>T: 022/660-000</w:t>
      </w:r>
    </w:p>
    <w:p w:rsidR="000D0EC2" w:rsidRDefault="00284767">
      <w:pPr>
        <w:spacing w:line="240" w:lineRule="auto"/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  <w:t xml:space="preserve">E: </w:t>
      </w:r>
      <w:hyperlink r:id="rId11" w:history="1">
        <w:r>
          <w:rPr>
            <w:rFonts w:ascii="Times New Roman" w:eastAsia="Calibri" w:hAnsi="Times New Roman" w:cs="Times New Roman"/>
            <w:b/>
            <w:color w:val="0000FF"/>
            <w:kern w:val="2"/>
            <w:sz w:val="20"/>
            <w:u w:val="single"/>
            <w:lang w:val="hr-HR"/>
            <w14:ligatures w14:val="standardContextual"/>
          </w:rPr>
          <w:t>ured@ss-strukovna-kralja-zvonimira-kn.skole.hr</w:t>
        </w:r>
      </w:hyperlink>
    </w:p>
    <w:p w:rsidR="000D0EC2" w:rsidRDefault="000D0EC2">
      <w:pPr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  <w:lang w:val="hr-HR" w:eastAsia="hr-HR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  <w:lang w:val="hr-HR" w:eastAsia="hr-HR"/>
          <w14:ligatures w14:val="standardContextual"/>
        </w:rPr>
        <w:t>1. Uvod</w:t>
      </w:r>
    </w:p>
    <w:p w:rsidR="000D0EC2" w:rsidRDefault="000D0EC2">
      <w:pPr>
        <w:rPr>
          <w:rFonts w:ascii="Times New Roman" w:eastAsia="Calibri" w:hAnsi="Times New Roman" w:cs="Times New Roman"/>
          <w:b/>
          <w:bCs/>
          <w:color w:val="000000"/>
          <w:kern w:val="2"/>
          <w:sz w:val="18"/>
          <w:szCs w:val="18"/>
          <w:lang w:val="hr-HR" w:eastAsia="hr-HR"/>
          <w14:ligatures w14:val="standardContextual"/>
        </w:rPr>
      </w:pP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Zakonom o proračunu (NN broj 144/21) čl. 86 stavkom 3. propisana je obveza sastavljanja i podnošenja polugodišnjeg izvještaja o izvršenju financijskog plana za tekuću proračunsku godinu na usvajanje Školskom odboru škole. Na sadržaj polugodišnjeg izvještaja o izvršenju financijskog plana primjenjuje se odredba članka 81. stavka 1. Zakona o proračunu . Polugodišnji izvještaj o izvršenju financijskog plana sadrži: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Opći dio financijskog plana - Račun prihoda i rashoda i Račun financiranja na razini odjeljka ekonomske klasifikacije,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posebni dio financijskog plana – izvršenje prihoda i rashoda iskazanih po izvorima financiranja i ekonomskoj klasifikaciji, raspoređenih u programe koji se sastoje od aktivnosti i projekata, na razini odjeljka ekonomske klasifikacije,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posebne izvještaje: – izvještaj o zaduživanju na domaćem i stranom tržištu novca i kapitala – izvještaj o danim zajmovima i potraživanjima po danim zajmovima – izvještaj o stanju potraživanja i dospjelih obveza te o stanju potencijalnih obveza po osnovi sudskih sporova.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obrazloženje ostvarenih prihoda i primitaka te rashoda i izdataka. </w:t>
      </w:r>
    </w:p>
    <w:p w:rsidR="0059007D" w:rsidRDefault="00284767" w:rsidP="0059007D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 skladu sa zakonskom obvezom, sastavljen je polugodišnji izvještaj o izvršenju Financijskog plana Srednje strukovne</w:t>
      </w:r>
      <w:r w:rsidR="00190A1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škole kralja Zvonimira  za 2025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. godinu. Prema odredbama Zakona o proračunu podaci o izvršenju prihoda i primitaka te rashoda i izdataka, iskazani su na razini odjeljka ekonomske klasifikacije (četvrta razina računskog plana). Financiranje rashoda Srednje strukovne škole kralja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>Zvonimira tijekom 202</w:t>
      </w:r>
      <w:r w:rsidR="00850C1C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godine izvršeno je tem</w:t>
      </w:r>
      <w:r w:rsidR="00190A1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eljem Financijskog plana za 2025. godinu i projekcija za 2026. i 2027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godinu, usvojenih na sjednici Školskog odbora. Srednja strukovna škola kralja Zvonimira od 23.10.2007. posluje putem jedinstvenog računa Županijske riznice, odnosno jedinstvenog bankovnog računa. Time su objedinjena plaćanja, primanja, čuvanja i prijenos svih prihoda i primitaka te rashoda i izdataka 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A14" w:rsidRPr="00190A14" w:rsidTr="00190A14">
        <w:trPr>
          <w:trHeight w:val="330"/>
        </w:trPr>
        <w:tc>
          <w:tcPr>
            <w:tcW w:w="10035" w:type="dxa"/>
            <w:shd w:val="clear" w:color="auto" w:fill="auto"/>
          </w:tcPr>
          <w:p w:rsidR="00190A14" w:rsidRPr="00190A14" w:rsidRDefault="00190A14" w:rsidP="00190A14">
            <w:pPr>
              <w:spacing w:before="28" w:after="28" w:line="240" w:lineRule="auto"/>
              <w:ind w:left="572" w:right="572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POLUGODIŠNJI IZVJEŠTAJ O IZVRŠENJU FINANCIJSKOG PLANA ZA 2025. GODINU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16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A14" w:rsidRPr="00190A14" w:rsidTr="00190A14">
        <w:trPr>
          <w:trHeight w:val="270"/>
        </w:trPr>
        <w:tc>
          <w:tcPr>
            <w:tcW w:w="10035" w:type="dxa"/>
            <w:shd w:val="clear" w:color="auto" w:fill="auto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1. OPĆI DIO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24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A14" w:rsidRPr="00190A14" w:rsidTr="00190A14">
        <w:trPr>
          <w:trHeight w:val="285"/>
        </w:trPr>
        <w:tc>
          <w:tcPr>
            <w:tcW w:w="10035" w:type="dxa"/>
            <w:shd w:val="clear" w:color="auto" w:fill="auto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1.1. SAŽETAK RAČUNA PRIHODA I RASHODA I RAČUNA FINANCIRANJA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34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A14" w:rsidRPr="00190A14" w:rsidTr="00190A14">
        <w:trPr>
          <w:trHeight w:val="255"/>
        </w:trPr>
        <w:tc>
          <w:tcPr>
            <w:tcW w:w="10035" w:type="dxa"/>
            <w:shd w:val="clear" w:color="auto" w:fill="auto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A) SAŽETAK RAČUNA PRIHODA I RASHODA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25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0A14" w:rsidRPr="00190A14" w:rsidTr="00190A14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Plan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190A14" w:rsidRPr="00190A14" w:rsidTr="00190A14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190A14" w:rsidRPr="00190A14" w:rsidTr="00190A14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761.449,94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1.664.061,00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858.794,65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112,78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51,61</w:t>
            </w:r>
          </w:p>
        </w:tc>
      </w:tr>
      <w:tr w:rsidR="00190A14" w:rsidRPr="00190A14" w:rsidTr="00190A14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761.449,94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1.664.061,00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858.794,65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112,78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51,61</w:t>
            </w:r>
          </w:p>
        </w:tc>
      </w:tr>
      <w:tr w:rsidR="00190A14" w:rsidRPr="00190A14" w:rsidTr="00190A14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0A14" w:rsidRPr="00190A14" w:rsidTr="00190A14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766.762,18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1.675.778,00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979.577,20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127,76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58,46</w:t>
            </w:r>
          </w:p>
        </w:tc>
      </w:tr>
      <w:tr w:rsidR="00190A14" w:rsidRPr="00190A14" w:rsidTr="00190A14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759.660,68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1.658.913,00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979.463,80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128,93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59,04</w:t>
            </w:r>
          </w:p>
        </w:tc>
      </w:tr>
      <w:tr w:rsidR="00190A14" w:rsidRPr="00190A14" w:rsidTr="00190A14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7.101,50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16.865,00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1,60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0,67</w:t>
            </w:r>
          </w:p>
        </w:tc>
      </w:tr>
      <w:tr w:rsidR="00190A14" w:rsidRPr="00190A14" w:rsidTr="00190A14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- 5.312,24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- 11.717,00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- 120.782,55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2.273,67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1.030,83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34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A14" w:rsidRPr="00190A14" w:rsidTr="00190A14">
        <w:trPr>
          <w:trHeight w:val="255"/>
        </w:trPr>
        <w:tc>
          <w:tcPr>
            <w:tcW w:w="10035" w:type="dxa"/>
            <w:shd w:val="clear" w:color="auto" w:fill="auto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B) SAŽETAK RAČUNA FINANCIRANJA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15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0A14" w:rsidRPr="00190A14" w:rsidTr="00190A14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Plan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190A14" w:rsidRPr="00190A14" w:rsidTr="00190A14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190A14" w:rsidRPr="00190A14" w:rsidTr="00190A14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0A14" w:rsidRPr="00190A14" w:rsidTr="00190A14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0A14" w:rsidRPr="00190A14" w:rsidTr="00190A14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34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0A14" w:rsidRPr="00190A14" w:rsidTr="00190A14">
        <w:trPr>
          <w:trHeight w:val="255"/>
        </w:trPr>
        <w:tc>
          <w:tcPr>
            <w:tcW w:w="10035" w:type="dxa"/>
            <w:shd w:val="clear" w:color="auto" w:fill="auto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C) PRENESENI VIŠAK ILI PRENESENI MANJAK</w:t>
            </w:r>
          </w:p>
        </w:tc>
      </w:tr>
    </w:tbl>
    <w:p w:rsidR="00190A14" w:rsidRPr="00190A14" w:rsidRDefault="00190A14" w:rsidP="00190A14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0A14" w:rsidRPr="00190A14" w:rsidRDefault="00190A14" w:rsidP="00190A14">
      <w:pPr>
        <w:spacing w:after="0" w:line="13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0A14" w:rsidRPr="00190A14" w:rsidTr="00190A14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Plan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190A14" w:rsidRPr="00190A14" w:rsidTr="00190A14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190A14" w:rsidRPr="00190A14" w:rsidTr="00190A14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A14" w:rsidRPr="00190A14" w:rsidRDefault="002416B4" w:rsidP="00D92098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19.142,95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11.717,00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A14" w:rsidRPr="00190A14" w:rsidRDefault="00D92098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16.857,79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A14" w:rsidRPr="00190A14" w:rsidRDefault="00850C1C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88,06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190A14" w:rsidRPr="00190A14" w:rsidRDefault="00850C1C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143,87</w:t>
            </w:r>
          </w:p>
        </w:tc>
      </w:tr>
      <w:tr w:rsidR="00190A14" w:rsidRPr="00190A14" w:rsidTr="00190A14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F0104F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19.142,95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190A14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0A14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11.717,00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F0104F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16.857,79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F0104F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88,06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0A14" w:rsidRPr="00190A14" w:rsidRDefault="00F0104F" w:rsidP="00190A14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143,87</w:t>
            </w:r>
          </w:p>
        </w:tc>
      </w:tr>
    </w:tbl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284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Opći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dio</w:t>
      </w:r>
      <w:proofErr w:type="spellEnd"/>
    </w:p>
    <w:p w:rsidR="00BB2102" w:rsidRDefault="00BB21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102" w:rsidRPr="00BB2102" w:rsidRDefault="00BB2102" w:rsidP="00BB2102">
      <w:pPr>
        <w:spacing w:after="0" w:line="13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BB2102" w:rsidRPr="00BB2102" w:rsidTr="00BB2102">
        <w:trPr>
          <w:trHeight w:val="435"/>
        </w:trPr>
        <w:tc>
          <w:tcPr>
            <w:tcW w:w="10575" w:type="dxa"/>
            <w:shd w:val="clear" w:color="auto" w:fill="auto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1.2. RAČUN PRIHODA I RASHODA</w:t>
            </w:r>
          </w:p>
        </w:tc>
      </w:tr>
    </w:tbl>
    <w:p w:rsidR="00BB2102" w:rsidRPr="00BB2102" w:rsidRDefault="00BB2102" w:rsidP="00BB2102">
      <w:pPr>
        <w:spacing w:after="0" w:line="25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BB2102" w:rsidRPr="00BB2102" w:rsidTr="00BB2102">
        <w:trPr>
          <w:trHeight w:val="270"/>
        </w:trPr>
        <w:tc>
          <w:tcPr>
            <w:tcW w:w="10575" w:type="dxa"/>
            <w:shd w:val="clear" w:color="auto" w:fill="auto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>1.2.1. IZVJEŠTAJ O PRIHODIMA I RASHODIMA PREMA EKONOMSKOJ KLASIFIKACIJI</w:t>
            </w:r>
          </w:p>
        </w:tc>
      </w:tr>
    </w:tbl>
    <w:p w:rsidR="00BB2102" w:rsidRPr="00BB2102" w:rsidRDefault="00BB2102" w:rsidP="00BB2102">
      <w:pPr>
        <w:spacing w:after="0" w:line="42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B2102" w:rsidRPr="00BB2102" w:rsidTr="00BB2102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Plan za 2025.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BB2102" w:rsidRPr="00BB2102" w:rsidTr="00BB2102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761.449,94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1.664.061,00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858.794,65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112,78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51,61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761.449,94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1.664.061,00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858.794,65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112,78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51,61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671.913,43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1.461.680,00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769.199,07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114,48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52,62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671.913,43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769.199,07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114,48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671.913,43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769.199,07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114,48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11.124,36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14.600,00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8.746,36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59,91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11.124,36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8.746,36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11.124,36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8.746,36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502,36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1.174,44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233,78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130,49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502,36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344,44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68,56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502,36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344,44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68,56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830,00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830,00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77.909,79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186.881,00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79.674,78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102,27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42,63</w:t>
            </w:r>
          </w:p>
        </w:tc>
      </w:tr>
      <w:tr w:rsidR="00BB2102" w:rsidRPr="00BB2102" w:rsidTr="00BB2102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77.909,79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79.674,78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102,27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70.808,29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79.674,78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112,52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7.101,50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BB2102" w:rsidRPr="00BB2102" w:rsidRDefault="00BB2102" w:rsidP="00BB2102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BB2102" w:rsidRPr="00BB2102">
          <w:headerReference w:type="default" r:id="rId12"/>
          <w:footerReference w:type="default" r:id="rId13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B2102" w:rsidRPr="00BB2102" w:rsidTr="00BB2102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Plan za 2025.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BB2102" w:rsidRPr="00BB2102" w:rsidTr="00BB2102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766.762,18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1.675.778,00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979.577,20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127,76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58,46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759.660,68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1.658.913,00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979.463,80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128,93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59,04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667.194,08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1.458.687,00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888.779,04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133,21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60,93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551.458,27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744.164,20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134,94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551.458,27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744.164,20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134,94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24.745,27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21.827,72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88,21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24.745,27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21.827,72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88,21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90.990,54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122.787,12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134,94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90.990,54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122.787,12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134,94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92.375,76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199.620,00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90.545,40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98,02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45,36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37.332,57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42.866,74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114,82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1.582,13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1.398,83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88,41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32.301,96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39.558,31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122,46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28,57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3.273,48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1.859,60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56,81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13.577,07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9.574,66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70,52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8.521,17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7.983,99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93,70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41,06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39,99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2.719,91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447,08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2.294,93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963,15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41,97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140,45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26.987,26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22.522,98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83,46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13.729,65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10.706,90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77,98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3.868,37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53,10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74,34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4.069,50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4.643,58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114,11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410,42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BB2102" w:rsidRPr="00BB2102" w:rsidRDefault="00BB2102" w:rsidP="00BB2102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BB2102" w:rsidRPr="00BB2102">
          <w:headerReference w:type="default" r:id="rId14"/>
          <w:footerReference w:type="default" r:id="rId15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796,35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2.413,60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3.462,10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143,44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2.056,69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3.225,64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156,84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14.478,86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15.581,02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107,61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749,47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2.715,08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362,27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114,29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1.332,00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135,92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12.714,39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11.493,94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90,40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90,84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139,36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153,41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46,45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90,84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139,36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153,41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90,84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139,36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153,41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7.101,50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16.865,00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1,60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0,67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7.101,50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16.865,00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1,60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0,67</w:t>
            </w: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4.502,50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3.782,50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2.599,00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Prijevozna sredstva u cestovnom prometu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2.599,00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B2102" w:rsidRPr="00BB2102" w:rsidTr="00BB210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B21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2102" w:rsidRPr="00BB2102" w:rsidRDefault="00BB2102" w:rsidP="00BB210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BB2102" w:rsidRDefault="00BB2102">
      <w:pPr>
        <w:rPr>
          <w:rFonts w:ascii="Times New Roman" w:hAnsi="Times New Roman" w:cs="Times New Roman"/>
        </w:rPr>
      </w:pPr>
    </w:p>
    <w:p w:rsidR="00BB2102" w:rsidRDefault="00BB2102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007D" w:rsidTr="001F5482">
        <w:trPr>
          <w:trHeight w:val="300"/>
        </w:trPr>
        <w:tc>
          <w:tcPr>
            <w:tcW w:w="10050" w:type="dxa"/>
            <w:shd w:val="clear" w:color="auto" w:fill="auto"/>
          </w:tcPr>
          <w:p w:rsidR="0059007D" w:rsidRDefault="0059007D" w:rsidP="001F548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1.2.2. IZVJEŠTAJ O PRIHODIMA I RASHODIMA PREMA IZVORIMA FINANCIRANJA</w:t>
            </w:r>
          </w:p>
        </w:tc>
      </w:tr>
    </w:tbl>
    <w:p w:rsidR="0059007D" w:rsidRDefault="0059007D" w:rsidP="0059007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007D" w:rsidTr="001F5482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:rsidR="0059007D" w:rsidRDefault="0059007D" w:rsidP="001F5482">
            <w:pPr>
              <w:pStyle w:val="ParagraphStyle1"/>
              <w:rPr>
                <w:rStyle w:val="CharacterStyle1"/>
              </w:rPr>
            </w:pPr>
          </w:p>
        </w:tc>
      </w:tr>
    </w:tbl>
    <w:p w:rsidR="0059007D" w:rsidRDefault="0059007D" w:rsidP="0059007D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59007D" w:rsidTr="001F5482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za 2025.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59007D" w:rsidTr="001F5482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761.449,94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1.664.061,00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858.794,65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112,78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51,61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77.909,79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186.881,00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79.674,78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102,27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42,63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3.869,97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2.229,00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59007D" w:rsidTr="001F5482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SREDSTVA ZA FINANCIRANJE DECENTRALIZIRANIH FUNKCIJA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70.734,11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154.917,00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61.554,18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87,02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39,73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PREDFINANCIRANJE EU PROJEKATA IZ SR.ŠKŽ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3.305,71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29.735,00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18.120,60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548,16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60,94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502,36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344,44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68,56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49,21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502,36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344,44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68,56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49,21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11.124,36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14.600,00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8.746,36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78,62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59,91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OSTALI 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11.124,36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14.600,00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8.746,36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78,62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59,91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671.913,43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1.461.680,00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769.199,07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114,48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52,62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EU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OSTALE 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671.913,43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1.461.680,00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769.199,07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114,48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52,62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415,00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830,00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415,00</w:t>
            </w:r>
          </w:p>
        </w:tc>
      </w:tr>
      <w:tr w:rsidR="0059007D" w:rsidTr="001F5482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:rsidR="0059007D" w:rsidRDefault="0059007D" w:rsidP="001F5482">
            <w:pPr>
              <w:pStyle w:val="ParagraphStyle1"/>
              <w:rPr>
                <w:rStyle w:val="CharacterStyle1"/>
              </w:rPr>
            </w:pPr>
          </w:p>
        </w:tc>
      </w:tr>
    </w:tbl>
    <w:p w:rsidR="0059007D" w:rsidRDefault="0059007D" w:rsidP="0059007D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59007D" w:rsidTr="001F5482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za 2025.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007D" w:rsidRDefault="0059007D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59007D" w:rsidTr="001F5482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766.762,18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1.675.778,00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bookmarkStart w:id="0" w:name="_Hlk204694228"/>
            <w:r>
              <w:rPr>
                <w:rStyle w:val="CharacterStyle8"/>
              </w:rPr>
              <w:t>979.577,20</w:t>
            </w:r>
            <w:bookmarkEnd w:id="0"/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127,76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58,46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77.844,07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186.881,00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90.240,37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115,92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48,29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3.869,97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2.229,00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339,85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8,78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15,25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SREDSTVA ZA FINANCIRANJE DECENTRALIZIRANIH FUNKCIJA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70.668,39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154.917,00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69.198,25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97,92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44,67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PREDFINANCIRANJE EU PROJEKATA IZ SR.ŠKŽ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3.305,71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29.735,00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20.702,27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626,26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69,62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12.027,74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17.000,00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9.464,09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78,69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55,67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lastRenderedPageBreak/>
              <w:t>43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OSTALI 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12.027,74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17.000,00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9.464,09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78,69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55,67</w:t>
            </w:r>
          </w:p>
        </w:tc>
      </w:tr>
    </w:tbl>
    <w:p w:rsidR="0059007D" w:rsidRDefault="0059007D" w:rsidP="0059007D">
      <w:pPr>
        <w:sectPr w:rsidR="0059007D"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676.890,37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1.470.997,00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879.042,74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129,86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59,76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EU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1.218,05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9.317,00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16,42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2,15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OSTALE 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675.672,32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1.461.680,00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878.842,74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130,07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60,13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415,00</w:t>
            </w:r>
          </w:p>
        </w:tc>
      </w:tr>
      <w:tr w:rsidR="0059007D" w:rsidTr="001F548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830,00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007D" w:rsidRDefault="0059007D" w:rsidP="001F548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415,00</w:t>
            </w:r>
          </w:p>
        </w:tc>
      </w:tr>
    </w:tbl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59007D" w:rsidRDefault="0059007D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BB2102" w:rsidRDefault="00BB2102">
      <w:pPr>
        <w:rPr>
          <w:rFonts w:ascii="Times New Roman" w:hAnsi="Times New Roman" w:cs="Times New Roman"/>
        </w:rPr>
      </w:pPr>
    </w:p>
    <w:p w:rsidR="00BB2102" w:rsidRDefault="00BB2102">
      <w:pPr>
        <w:rPr>
          <w:rFonts w:ascii="Times New Roman" w:hAnsi="Times New Roman" w:cs="Times New Roman"/>
        </w:rPr>
      </w:pPr>
    </w:p>
    <w:p w:rsidR="00BB2102" w:rsidRDefault="00BB2102">
      <w:pPr>
        <w:rPr>
          <w:rFonts w:ascii="Times New Roman" w:hAnsi="Times New Roman" w:cs="Times New Roman"/>
        </w:rPr>
      </w:pPr>
    </w:p>
    <w:p w:rsidR="00BB2102" w:rsidRDefault="00BB210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482" w:rsidRDefault="001F54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482" w:rsidRDefault="001F54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590" w:type="dxa"/>
        <w:tblInd w:w="-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1F5482" w:rsidTr="001F5482">
        <w:trPr>
          <w:trHeight w:val="300"/>
        </w:trPr>
        <w:tc>
          <w:tcPr>
            <w:tcW w:w="10590" w:type="dxa"/>
            <w:shd w:val="clear" w:color="auto" w:fill="auto"/>
          </w:tcPr>
          <w:p w:rsidR="001F5482" w:rsidRDefault="001F5482" w:rsidP="001F548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1.2.3. IZVJEŠTAJ O RASHODIMA PREMA FUNKCIJSKOJ KLASIFIKACIJI</w:t>
            </w:r>
          </w:p>
        </w:tc>
      </w:tr>
    </w:tbl>
    <w:p w:rsidR="001F5482" w:rsidRDefault="001F5482" w:rsidP="001F5482">
      <w:pPr>
        <w:spacing w:line="15" w:lineRule="exact"/>
      </w:pPr>
    </w:p>
    <w:p w:rsidR="001F5482" w:rsidRDefault="001F5482" w:rsidP="001F5482">
      <w:pPr>
        <w:spacing w:line="255" w:lineRule="exact"/>
      </w:pPr>
    </w:p>
    <w:tbl>
      <w:tblPr>
        <w:tblW w:w="10590" w:type="dxa"/>
        <w:tblInd w:w="-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1F5482" w:rsidTr="001F5482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Default="001F5482" w:rsidP="001F548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Default="001F5482" w:rsidP="001F548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Izvršenje </w:t>
            </w:r>
            <w:r>
              <w:rPr>
                <w:rStyle w:val="CharacterStyle2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Default="001F5482" w:rsidP="001F548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za 2025.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Default="001F5482" w:rsidP="001F548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30.6.2025.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Default="001F5482" w:rsidP="001F548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Default="001F5482" w:rsidP="001F548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3</w:t>
            </w:r>
          </w:p>
        </w:tc>
      </w:tr>
      <w:tr w:rsidR="001F5482" w:rsidTr="001F5482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6</w:t>
            </w:r>
          </w:p>
        </w:tc>
      </w:tr>
      <w:tr w:rsidR="001F5482" w:rsidTr="001F5482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766.762,18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1.675.778,00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979.577,20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127,76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58,46</w:t>
            </w:r>
          </w:p>
        </w:tc>
      </w:tr>
      <w:tr w:rsidR="001F5482" w:rsidTr="001F5482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766.762,18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1.675.778,00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979.577,20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127,76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58,46</w:t>
            </w:r>
          </w:p>
        </w:tc>
      </w:tr>
      <w:tr w:rsidR="001F5482" w:rsidTr="001F5482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092 Srednjoškolsko 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766.762,18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1.675.778,00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979.577,20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127,76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Default="001F5482" w:rsidP="001F548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58,46</w:t>
            </w:r>
          </w:p>
        </w:tc>
      </w:tr>
    </w:tbl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284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Posebni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dio</w:t>
      </w:r>
      <w:proofErr w:type="spellEnd"/>
    </w:p>
    <w:p w:rsidR="001F5482" w:rsidRDefault="001F54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482" w:rsidRDefault="001F54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1F5482" w:rsidRPr="001F5482" w:rsidTr="001F5482">
        <w:trPr>
          <w:trHeight w:val="840"/>
        </w:trPr>
        <w:tc>
          <w:tcPr>
            <w:tcW w:w="30" w:type="dxa"/>
          </w:tcPr>
          <w:p w:rsidR="001F5482" w:rsidRPr="001F5482" w:rsidRDefault="001F5482" w:rsidP="001F5482">
            <w:pPr>
              <w:spacing w:after="0" w:line="240" w:lineRule="auto"/>
              <w:rPr>
                <w:rFonts w:ascii="Calibri" w:eastAsia="Calibri" w:hAnsi="Calibri" w:cs="Calibri"/>
                <w:sz w:val="1"/>
                <w:szCs w:val="1"/>
                <w:lang w:val="hr-HR" w:eastAsia="hr-HR"/>
              </w:rPr>
            </w:pPr>
          </w:p>
        </w:tc>
        <w:tc>
          <w:tcPr>
            <w:tcW w:w="9915" w:type="dxa"/>
            <w:shd w:val="clear" w:color="auto" w:fill="auto"/>
          </w:tcPr>
          <w:p w:rsidR="001F5482" w:rsidRPr="001F5482" w:rsidRDefault="001F5482" w:rsidP="001F5482">
            <w:pPr>
              <w:spacing w:before="28" w:after="28" w:line="240" w:lineRule="auto"/>
              <w:ind w:left="1133" w:right="1133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2. POSEBNI DIO</w:t>
            </w:r>
            <w:r w:rsidRPr="001F5482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br/>
            </w:r>
            <w:r w:rsidRPr="001F5482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br/>
              <w:t>2.1. IZVJEŠTAJ PO PROGRAMSKOJ KLASIFIKACIJI</w:t>
            </w:r>
          </w:p>
        </w:tc>
      </w:tr>
    </w:tbl>
    <w:p w:rsidR="001F5482" w:rsidRPr="001F5482" w:rsidRDefault="001F5482" w:rsidP="001F5482">
      <w:pPr>
        <w:spacing w:after="0" w:line="39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Plan za 2025.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 / 2</w:t>
            </w:r>
          </w:p>
        </w:tc>
      </w:tr>
      <w:tr w:rsidR="001F5482" w:rsidRPr="001F5482" w:rsidTr="001F5482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1F5482" w:rsidRPr="001F5482" w:rsidTr="001F5482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1.675.778,00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979.577,20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58,46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GLAVA    30003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G- SREDNJE ŠKOLE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245.073,00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109.429,61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44,65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2.229,00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339,85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15,25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154.917,00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69.198,25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44,67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15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Predfinanciranje EU projekata iz sr.ŠKŽ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29.735,00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20.702,27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69,62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Ostali 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9.464,09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55,67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9.317,00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2,15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30.975,00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8.695,15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28,07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61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415,00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PROGRAM    1007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OSNOVNO I SREDNJEŠKOLSKO OBRAZOVANJE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245.073,00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109.429,61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44,65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A1007-10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SREDNJEŠKOLSKO OBRAZOVANJE - STANDARD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141.747,00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69.198,25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48,82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141.747,00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69.198,25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48,82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141.447,00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69.058,89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48,82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1.398,83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38.819,49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1.859,60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7.983,99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39,99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447,08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963,15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140,45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2.575,15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F5482" w:rsidRPr="001F5482">
          <w:headerReference w:type="default" r:id="rId16"/>
          <w:footerReference w:type="default" r:id="rId1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74,34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4.643,58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410,42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3.462,10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3.225,64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2.715,08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139,36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46,45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139,36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SREDNJEŠKOLSKO OBRAZOVANJE - OPERATIVNI PLAN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PODIZANJE KVALITETE I STANDARDA KROZ AKTIVNOSTI ŠKOLA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22.564,00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11.083,94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49,12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339,85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51,18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339,85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51,18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339,85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Ostali 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9.464,09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55,67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9.464,09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55,67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F5482" w:rsidRPr="001F5482">
          <w:headerReference w:type="default" r:id="rId18"/>
          <w:footerReference w:type="default" r:id="rId19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9.464,09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11,25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11,25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61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415,00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415,00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A1007-28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PRIJEVOZ UČENIKA S TEŠKOĆAMA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22.024,00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8.131,75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36,92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22.024,00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8.131,75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36,92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22.024,00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8.131,75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36,92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8.131,75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T1007-66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ERASMUS+DANAŠNJA PRAKSA-SUTRAŠNJE STVARANJE (SSŠ KRALJA ZVONIMIRA)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9.317,00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2,15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9.317,00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2,15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9.317,00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2,15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T1007-45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ŠKOLA ZA ŽIVOT - KURIKULARNA REFORMA /SŠ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2,44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2,44</w:t>
            </w:r>
          </w:p>
        </w:tc>
      </w:tr>
    </w:tbl>
    <w:p w:rsidR="001F5482" w:rsidRPr="001F5482" w:rsidRDefault="001F5482" w:rsidP="001F5482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F5482" w:rsidRPr="001F5482">
          <w:headerReference w:type="default" r:id="rId20"/>
          <w:footerReference w:type="default" r:id="rId21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2,44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A1007-70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KAPITALNA ULAGANJA I NABAVA OPREME U SREDNJEM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64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OPSKRBA ŠKOLSKIH USTANOVA BESPLATNIM ZALIHAMA MENSTRUALNIH HIGIJENSKIH POTREPŠTINA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306,00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ZAJEDNO DO ZNANJA UZ VIŠE ELANA VI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31.300,00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20.702,27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66,14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Predfinanciranje EU projekata iz sr.ŠKŽ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29.735,00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20.702,27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69,62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28.500,00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19.963,45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70,05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15.934,29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2.629,16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F5482" w:rsidRPr="001F5482">
          <w:headerReference w:type="default" r:id="rId22"/>
          <w:footerReference w:type="default" r:id="rId23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738,82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59,82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738,82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GLAVA    30004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G- DJELATNOST OSNOVNIH I SREDNJIH ŠKOLA IZVAN PRORAČUNA ŠKZ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1.430.705,00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870.147,59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60,82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1.430.705,00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870.147,59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60,82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PROGRAM    1007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OSNOVNO I SREDNJEŠKOLSKO OBRAZOVANJE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1.430.705,00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870.147,59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60,82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A1007-58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REDOVNA DJELATNOST ŠKOLA (EVIDENCIJSKI PRIHODI)-SŠ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1.430.705,00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bookmarkStart w:id="1" w:name="_Hlk204705687"/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870.147,59</w:t>
            </w:r>
            <w:bookmarkEnd w:id="1"/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60,82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1.430.705,00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870.147,59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60,82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1.428.687,00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868.815,59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60,81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728.229,91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20.427,72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120.157,96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2.018,00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1.332,00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66,01</w:t>
            </w:r>
          </w:p>
        </w:tc>
      </w:tr>
      <w:tr w:rsidR="001F5482" w:rsidRPr="001F5482" w:rsidTr="001F548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F5482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1.332,00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82" w:rsidRPr="001F5482" w:rsidRDefault="001F5482" w:rsidP="001F5482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F5482" w:rsidRPr="001F5482" w:rsidRDefault="001F5482" w:rsidP="001F5482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4. Obrazloženje općeg dijela</w:t>
      </w:r>
    </w:p>
    <w:p w:rsidR="000D0EC2" w:rsidRDefault="000D0EC2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Program srednjoškolskog obrazovanja Srednje strukovne škola kralja Zvonimira je ostvaren u iznosu od </w:t>
      </w:r>
      <w:r w:rsidR="00016469" w:rsidRPr="00016469">
        <w:rPr>
          <w:rFonts w:ascii="Times New Roman" w:hAnsi="Times New Roman" w:cs="Times New Roman"/>
          <w:bCs/>
        </w:rPr>
        <w:t>979.577,20</w:t>
      </w:r>
      <w:r w:rsidR="0001646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 ili 5</w:t>
      </w:r>
      <w:r w:rsidR="00016469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8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</w:t>
      </w:r>
      <w:r w:rsidR="00016469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46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u odnosu na godišnji plan. Aktivnosti i projekti izvršeni su u skladu sa planiranom dinamikom, a nastali su prema proračunu prošle godine. Kod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Erasmus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+ projekta „Današnja praksa – sutrašnje stvaranje“ preneseni višak od prethodnog razdoblja troši se za stručna usavršavanja djelatnika i učenika kroz mobilnost projekta.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3102 - SŠ Vlastiti prihodi utrošiti ćemo djelomično do kraja 202</w:t>
      </w:r>
      <w:r w:rsidR="00016469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. godine kroz skupinu 32 odnosno na materijalne rashode.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4302 – SŠ Prihodi posebne namjene utrošiti ćemo djelomično  do kraja 202</w:t>
      </w:r>
      <w:r w:rsidR="00016469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5102 - SŠ Pomoći iz EU utrošiti ćemo djelomično do kraja 202</w:t>
      </w:r>
      <w:r w:rsidR="00016469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>Preneseni višak prihoda izvora financiranja 5202 - SŠ Pomoći iz državnog proračuna utrošiti ćemo djelomično do kraja 202</w:t>
      </w:r>
      <w:r w:rsidR="00016469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6102 - SŠ Pomoći iz državnog proračuna utrošiti ćemo djelomično do kraja 202</w:t>
      </w:r>
      <w:r w:rsidR="00016469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godine kroz skupinu 32 odnosno na materijalne rashode.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5. Obrazloženje posebnog dijela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 Posebnom dijelu Financijskog plana svi planirani i izvršeni rashodi i izdaci raspoređeni po izvorima financiranja i ekonomskoj klasifikaciji, raspoređeni u programe koji se sastoje od aktivnosti i projekata.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Srednjoškolsko obrazovanje – standard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rashodi su planirani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141.747,00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eura, a ostvareni su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</w:t>
      </w:r>
      <w:r w:rsidR="0001646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9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01646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198,25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 tj. 4</w:t>
      </w:r>
      <w:r w:rsidR="004603EC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8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,8</w:t>
      </w:r>
      <w:r w:rsidR="004603EC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od godišnjeg plana.</w:t>
      </w:r>
      <w:r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Cilj koji će biti ostvaren provedbom ove aktivnosti: nesmetano odvijanje nastavnog procesa na temelju Nastavnog plana i programa za srednje škole, Godišnjeg plana i programa rada škole i Školskog kurikuluma.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Srednjoškolsko obrazovanje - Operativni plan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1.650,00 eura , a realizirani su u iznosu od 0,00 eura odnosno 0,00 % iznosu godišnjeg plana. Cilj koji će biti ostvaren provedbom ove aktivnosti : nabava materijala za održavanje opreme.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Navedene dvije aktivnosti odnose se na financiranje materijalnih rashoda koji su se financirali iz izvora Županijskih prihoda za decentralizirane funkcije.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Podizanje kvalitete i standarda kroz aktivnost srednje škole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planirani su u iznosu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22.564,00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eura, a realizirani su u iznosu od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11.083,94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ili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49,12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godišnjeg plana. Cilj koji će biti ostvaren provedbom ove aktivnosti: odnosi se na financiranje materijalnih rashoda, financijskih rashoda i rashoda za nabavu nefinancijske imovine. Navedeni rashodi financirani su iz izvora prihoda za posebne namjene, vlastitih prihoda i pomoći iz proračuna.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Prijevoz učenika s teškoćama u razvoju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22.024,00 eura , a realizirani su u iznosu od </w:t>
      </w:r>
      <w:r w:rsidR="00AF04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8.131,75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ili</w:t>
      </w:r>
      <w:proofErr w:type="spellEnd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36,92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iznosu godišnjeg plana. Cilj koji će biti ostvaren provedbom ove aktivnosti: prijevoz je učenika s teškoćama u razvoju za dolazak u školu te povratak kući.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Erasmus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 xml:space="preserve"> + Današnja praksa - sutrašnje stvaranje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9.317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,00 eura, a realizirani su u iznosu od </w:t>
      </w:r>
      <w:r w:rsidR="00AF04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200,00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 ili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2,15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iznosu godišnjeg plana. Cilj koji će biti ostvaren provedbom ove aktivnosti: usavršavanje nastavnika sudjelovanjem na stručnim seminarima.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 xml:space="preserve">Škola za život –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kurikularna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 xml:space="preserve"> reforma-SŠ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4.645,00 eura dok je ostvareno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113,40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ili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2,44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%. Cilj koji će biti ostvaren provedbom ove aktivnosti: opremanje je školske ustanove ulaganjem u nefinancijsku imovinu.</w:t>
      </w:r>
      <w:r>
        <w:cr/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Kapitalna ulaganja i nabavka opreme-SŠ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, rashodi su planirani u iznosu od 11.520,00 eura, a ostvareno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0,00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ili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0,00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%. Cilj koji će biti ostvaren provedbom ove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>aktivnosti: ulaganje u nabavu nefinancijske imovine, odnosno u nabavu rashladnih uređaja te računalne opreme.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Opskrba školskih ustanova besplatnim zalihama menstrualnih higijenskih potrepština-SŠ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</w:t>
      </w:r>
      <w:r w:rsidR="00AF046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306,</w:t>
      </w:r>
      <w:bookmarkStart w:id="2" w:name="_GoBack"/>
      <w:bookmarkEnd w:id="2"/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00 eura, a ostvareni su u iznosu od 0,00 eura tj. 0,00 % od godišnjeg plana. Cilj koji će biti ostvaren provedbom ove aktivnosti: Donacija u naravi sa svrhom naslova aktivnosti.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Zajedno do znanja uz više elana VI-SŠ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</w:t>
      </w:r>
      <w:r w:rsidR="0085057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31.300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,00 eura, a ostvareni su u iznosu od </w:t>
      </w:r>
      <w:r w:rsidR="0085057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20.702,27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tj. </w:t>
      </w:r>
      <w:r w:rsidR="0085057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66,14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od godišnjeg plana. Cilj koji će biti ostvaren provedbom ove aktivnosti: Pomoć je učenicima prilikom usvajanja znanja te zapošljavanja asistenta odnosno pomoćnika u nastavi.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Redovna djelatnost škole (evidencijski prihodi)-SŠ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planirani su rashodi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</w:t>
      </w:r>
      <w:r w:rsidR="0085057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430.705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,00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eura, a realizirani su u iznosu od </w:t>
      </w:r>
      <w:r w:rsidR="00850574" w:rsidRPr="00850574">
        <w:rPr>
          <w:rFonts w:ascii="Times New Roman" w:eastAsia="Calibri" w:hAnsi="Times New Roman" w:cs="Times New Roman"/>
          <w:bCs/>
          <w:kern w:val="2"/>
          <w:sz w:val="24"/>
          <w:szCs w:val="24"/>
          <w:lang w:val="hr-HR"/>
          <w14:ligatures w14:val="standardContextual"/>
        </w:rPr>
        <w:t>870.147,59</w:t>
      </w:r>
      <w:r w:rsidR="00850574">
        <w:rPr>
          <w:rFonts w:ascii="Times New Roman" w:eastAsia="Calibri" w:hAnsi="Times New Roman" w:cs="Times New Roman"/>
          <w:bCs/>
          <w:kern w:val="2"/>
          <w:sz w:val="24"/>
          <w:szCs w:val="24"/>
          <w:lang w:val="hr-HR"/>
          <w14:ligatures w14:val="standardContextual"/>
        </w:rPr>
        <w:t xml:space="preserve"> </w:t>
      </w:r>
      <w:r w:rsidRPr="0085057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ili </w:t>
      </w:r>
      <w:r w:rsidR="0085057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60,82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godišnjeg plana. Rashodi se odnose na rashode za zaposlene, doprinose na plaće i ostale materijalne rashode. Rashodi su financirani iz izvora pomoći tj. iz državnog proračuna. Cilj koji će biti ostvaren provedbom ove aktivnosti: financiranje rashoda za zaposlene: plaće zaposlenika, isplate regresa, isplate jubilarnih nagrada i pomoći, dara djeci, božićnica.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16469" w:rsidRDefault="00016469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6. Posebni izvještaji o izvršenju financijskog plana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ZADUŽIVANJU NA DOMAĆEM I STRANOM TRŽIŠTU NOVCA I KAP</w:t>
      </w:r>
      <w:r w:rsidR="00190A1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ITALA ZA RAZDOBLJE OD 01.01.2025. DO 30.06.2025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GODINE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nije se zaduživala u izvještajnom razdoblju.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DANIM ZAJMOVIMA I POTRAŽIVANJIMA PO DANIM ZAJM</w:t>
      </w:r>
      <w:r w:rsidR="00190A14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OVIMA ZA RAZDOBLJE OD 01.01.2025. DO 30.06.2025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GODINE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nema danih zajmova ni potraživanja po danim zajmovima u izvještajnom razdoblju.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STANJU POTRAŽIVANJA I DOSPJELIH OBVEZA TE O STANJU POTENCIJALNIH OBVEZA PO OSNOVI SUDSKIH SPOROVA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nije imala obveza po sudskim sporovima u izvještajnom razdoblju.</w:t>
      </w:r>
    </w:p>
    <w:p w:rsidR="00850574" w:rsidRDefault="00850574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850574" w:rsidRDefault="00850574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850574" w:rsidRDefault="00850574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850574" w:rsidRDefault="00850574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190A14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Dana, 17.07.2025</w:t>
      </w:r>
      <w:r w:rsidR="00284767"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     Voditelj računovodstva                                                              Ravnatelj                                                                                                                            </w:t>
      </w: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      Josip Sarić,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mag.oec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.                                                         Milivoj Ilić,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dipl.ing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.</w:t>
      </w: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D0EC2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463" w:rsidRDefault="00AF0463" w:rsidP="0059007D">
      <w:pPr>
        <w:spacing w:after="0" w:line="240" w:lineRule="auto"/>
      </w:pPr>
      <w:r>
        <w:separator/>
      </w:r>
    </w:p>
  </w:endnote>
  <w:endnote w:type="continuationSeparator" w:id="0">
    <w:p w:rsidR="00AF0463" w:rsidRDefault="00AF0463" w:rsidP="0059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463" w:rsidRDefault="00AF0463" w:rsidP="0059007D">
      <w:pPr>
        <w:spacing w:after="0" w:line="240" w:lineRule="auto"/>
      </w:pPr>
      <w:r>
        <w:separator/>
      </w:r>
    </w:p>
  </w:footnote>
  <w:footnote w:type="continuationSeparator" w:id="0">
    <w:p w:rsidR="00AF0463" w:rsidRDefault="00AF0463" w:rsidP="0059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63" w:rsidRDefault="00AF0463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EEC"/>
    <w:multiLevelType w:val="multilevel"/>
    <w:tmpl w:val="C4044F1C"/>
    <w:lvl w:ilvl="0">
      <w:start w:val="1"/>
      <w:numFmt w:val="decimal"/>
      <w:lvlText w:val="%1."/>
      <w:lvlJc w:val="left"/>
      <w:pPr>
        <w:ind w:left="4745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695" w:hanging="42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upperLetter"/>
      <w:lvlText w:val="%3)"/>
      <w:lvlJc w:val="left"/>
      <w:pPr>
        <w:ind w:left="3290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5425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110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95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80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65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0" w:hanging="2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C2"/>
    <w:rsid w:val="00016469"/>
    <w:rsid w:val="000D0EC2"/>
    <w:rsid w:val="000E6E5E"/>
    <w:rsid w:val="00190A14"/>
    <w:rsid w:val="001F5482"/>
    <w:rsid w:val="002416B4"/>
    <w:rsid w:val="00284767"/>
    <w:rsid w:val="004603EC"/>
    <w:rsid w:val="0059007D"/>
    <w:rsid w:val="00850574"/>
    <w:rsid w:val="00850C1C"/>
    <w:rsid w:val="00AF0463"/>
    <w:rsid w:val="00B232C1"/>
    <w:rsid w:val="00BB2102"/>
    <w:rsid w:val="00D92098"/>
    <w:rsid w:val="00F0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20D1"/>
  <w15:docId w15:val="{05CC5D38-D940-4CE1-8F35-E1481E6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767"/>
    <w:rPr>
      <w:rFonts w:ascii="Segoe UI" w:hAnsi="Segoe UI" w:cs="Segoe UI"/>
      <w:sz w:val="18"/>
      <w:szCs w:val="18"/>
    </w:rPr>
  </w:style>
  <w:style w:type="paragraph" w:customStyle="1" w:styleId="ParagraphStyle2">
    <w:name w:val="ParagraphStyle2"/>
    <w:hidden/>
    <w:rsid w:val="00F0104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3">
    <w:name w:val="ParagraphStyle3"/>
    <w:hidden/>
    <w:rsid w:val="00F0104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4">
    <w:name w:val="ParagraphStyle4"/>
    <w:hidden/>
    <w:rsid w:val="00F0104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5">
    <w:name w:val="ParagraphStyle5"/>
    <w:hidden/>
    <w:rsid w:val="00F0104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6">
    <w:name w:val="ParagraphStyle6"/>
    <w:hidden/>
    <w:rsid w:val="00F0104F"/>
    <w:pPr>
      <w:spacing w:after="0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7">
    <w:name w:val="ParagraphStyle7"/>
    <w:hidden/>
    <w:rsid w:val="00F0104F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8">
    <w:name w:val="ParagraphStyle8"/>
    <w:hidden/>
    <w:rsid w:val="00F0104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9">
    <w:name w:val="ParagraphStyle9"/>
    <w:hidden/>
    <w:rsid w:val="00F0104F"/>
    <w:pPr>
      <w:spacing w:after="0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0">
    <w:name w:val="ParagraphStyle10"/>
    <w:hidden/>
    <w:rsid w:val="00F0104F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1">
    <w:name w:val="ParagraphStyle11"/>
    <w:hidden/>
    <w:rsid w:val="00F0104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2">
    <w:name w:val="CharacterStyle2"/>
    <w:hidden/>
    <w:rsid w:val="00F010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sid w:val="00F010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F0104F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sid w:val="00F0104F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sid w:val="00F010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F010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F010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F010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F010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sid w:val="00F010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FakeCharacterStyle">
    <w:name w:val="FakeCharacterStyle"/>
    <w:hidden/>
    <w:rsid w:val="0059007D"/>
    <w:rPr>
      <w:sz w:val="1"/>
      <w:szCs w:val="1"/>
    </w:rPr>
  </w:style>
  <w:style w:type="paragraph" w:customStyle="1" w:styleId="ParagraphStyle0">
    <w:name w:val="ParagraphStyle0"/>
    <w:hidden/>
    <w:rsid w:val="0059007D"/>
    <w:pPr>
      <w:spacing w:before="28" w:after="28" w:line="240" w:lineRule="auto"/>
      <w:ind w:left="850" w:right="850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">
    <w:name w:val="ParagraphStyle1"/>
    <w:hidden/>
    <w:rsid w:val="0059007D"/>
    <w:pPr>
      <w:spacing w:before="28" w:after="28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2">
    <w:name w:val="ParagraphStyle12"/>
    <w:hidden/>
    <w:rsid w:val="0059007D"/>
    <w:pPr>
      <w:spacing w:after="0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3">
    <w:name w:val="ParagraphStyle13"/>
    <w:hidden/>
    <w:rsid w:val="0059007D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4">
    <w:name w:val="ParagraphStyle14"/>
    <w:hidden/>
    <w:rsid w:val="0059007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0">
    <w:name w:val="CharacterStyle0"/>
    <w:hidden/>
    <w:rsid w:val="0059007D"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59007D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59007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sid w:val="0059007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sid w:val="0059007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styleId="Zaglavlje">
    <w:name w:val="header"/>
    <w:basedOn w:val="Normal"/>
    <w:link w:val="ZaglavljeChar"/>
    <w:uiPriority w:val="99"/>
    <w:unhideWhenUsed/>
    <w:rsid w:val="0059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07D"/>
  </w:style>
  <w:style w:type="paragraph" w:styleId="Podnoje">
    <w:name w:val="footer"/>
    <w:basedOn w:val="Normal"/>
    <w:link w:val="PodnojeChar"/>
    <w:uiPriority w:val="99"/>
    <w:unhideWhenUsed/>
    <w:rsid w:val="0059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ed@ss-strukovna-kralja-zvonimira-kn.skole.hr" TargetMode="Externa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A4AC3960BE4CBFF46E8D282078ED" ma:contentTypeVersion="13" ma:contentTypeDescription="Create a new document." ma:contentTypeScope="" ma:versionID="6929aff413d9a48dbd36f78136d140f7">
  <xsd:schema xmlns:xsd="http://www.w3.org/2001/XMLSchema" xmlns:xs="http://www.w3.org/2001/XMLSchema" xmlns:p="http://schemas.microsoft.com/office/2006/metadata/properties" xmlns:ns3="2d06e878-dedb-4e17-a2f5-7402d478cb3a" targetNamespace="http://schemas.microsoft.com/office/2006/metadata/properties" ma:root="true" ma:fieldsID="19f0b5f67954e597053bde387a52244e" ns3:_="">
    <xsd:import namespace="2d06e878-dedb-4e17-a2f5-7402d478c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6e878-dedb-4e17-a2f5-7402d478c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06e878-dedb-4e17-a2f5-7402d478cb3a" xsi:nil="true"/>
  </documentManagement>
</p:properties>
</file>

<file path=customXml/itemProps1.xml><?xml version="1.0" encoding="utf-8"?>
<ds:datastoreItem xmlns:ds="http://schemas.openxmlformats.org/officeDocument/2006/customXml" ds:itemID="{10784836-D5C9-41E5-9C61-90277D70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6e878-dedb-4e17-a2f5-7402d478c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AE090-BD3E-4892-A926-C53CC0936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FEC1C-8565-484B-96A0-979F2BF2C1A1}">
  <ds:schemaRefs>
    <ds:schemaRef ds:uri="http://schemas.microsoft.com/office/2006/metadata/properties"/>
    <ds:schemaRef ds:uri="http://schemas.microsoft.com/office/infopath/2007/PartnerControls"/>
    <ds:schemaRef ds:uri="2d06e878-dedb-4e17-a2f5-7402d478c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16104</TotalTime>
  <Pages>20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Sarić</dc:creator>
  <cp:keywords/>
  <dc:description/>
  <cp:lastModifiedBy>Josip Sarić</cp:lastModifiedBy>
  <cp:revision>3</cp:revision>
  <cp:lastPrinted>2024-07-18T08:57:00Z</cp:lastPrinted>
  <dcterms:created xsi:type="dcterms:W3CDTF">2025-07-18T07:32:00Z</dcterms:created>
  <dcterms:modified xsi:type="dcterms:W3CDTF">2025-07-29T16:22:00Z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0x0101008FE3A4AC3960BE4CBFF46E8D282078ED</vt:lpwstr>
  </property>
</Properties>
</file>