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09ddf74f1b4179"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43095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SREDNJA STRUKOVNA ŠKOLA KRALJA ZVONIMIRA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761.449,94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858.794,65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112,8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759.660,68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979.463,80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120.669,15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7.101,50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7.101,50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1,6</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5.312,24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120.782,55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2273,7</w:t>
            </w:r>
          </w:p>
        </w:tc>
      </w:tr>
    </w:tbl>
    <w:p>
      <w:pPr>
        <w:spacing w:before="0" w:after="0"/>
      </w:pPr>
    </w:p>
    <w:p>
      <w:pPr>
        <w:jc w:val="both"/>
        <w:pStyle w:val="Normal"/>
        <w:spacing w:line="240" w:lineRule="auto"/>
      </w:pPr>
      <w:r>
        <w:rPr>
          <w:sz w:val="24"/>
          <w:rFonts w:ascii="Times New Roman" w:hAnsi="Times New Roman"/>
        </w:rPr>
        <w:t>Manjak prihoda i primitaka u izvještajnom razdoblju je ostvaren u iznosu od 120.782,55 iz razloga što su ukupni prihodi poslovanja 858.794,65 a ukupni rashodi poslovanja 979.463,80 što znači da razliku čini iznos od 120.669,15. Od siječnja 2025. godine ne koristimo više konto 193 rashodi budućih razdoblja, pa je iz tog razloga iznos rashoda značajno iznad iznosa prihoda, donosno naša institucija ima ostvaren manjak prihoda i primitaka. Na iznos od 120.669,15 se dodaje iznos od 113,40 iz razloga što rashod za nabavu nefinancijske imovine nema ostvaren pripadajući prihod skupine 7, te ukupan manjak prihoda i primitaka iznosi 120.782,55.</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671.913,43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769.199,07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114,5</w:t>
            </w:r>
          </w:p>
        </w:tc>
      </w:tr>
    </w:tbl>
    <w:p>
      <w:pPr>
        <w:spacing w:before="0" w:after="0"/>
      </w:pPr>
    </w:p>
    <w:p>
      <w:pPr>
        <w:jc w:val="both"/>
        <w:pStyle w:val="Normal"/>
        <w:spacing w:line="240" w:lineRule="auto"/>
      </w:pPr>
      <w:r>
        <w:rPr>
          <w:sz w:val="24"/>
          <w:rFonts w:ascii="Times New Roman" w:hAnsi="Times New Roman"/>
        </w:rPr>
        <w:t>Pomoći iz proračuna čine sredstva za isplatu plaća, materijalnih prava, higijenskih potrepština i ostalo. U izvještajnom razdoblju je veći iznos u odnosu na prošlogodišnje razdoblje iz razloga što je došlo do povećanja osnovice u odnosu na 2024. godinu te je veći broj isplaćenih materijalnih prava u odnosu na prošlogodišnje razdoblje.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11.124,36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8.746,36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78,6</w:t>
            </w:r>
          </w:p>
        </w:tc>
      </w:tr>
    </w:tbl>
    <w:p>
      <w:pPr>
        <w:spacing w:before="0" w:after="0"/>
      </w:pPr>
    </w:p>
    <w:p>
      <w:pPr>
        <w:jc w:val="both"/>
        <w:pStyle w:val="Normal"/>
        <w:spacing w:line="240" w:lineRule="auto"/>
      </w:pPr>
      <w:r>
        <w:rPr>
          <w:sz w:val="24"/>
          <w:rFonts w:ascii="Times New Roman" w:hAnsi="Times New Roman"/>
        </w:rPr>
        <w:t>Ostali nepsomenuti prihodi se odnose na prihode ostvarene za pojačane učeničke troškove, te prihodi za provedbu maturalne zabave. U ovogodišnjem razdoblju je iznoš troškova bio manji te je i prihod potreban za pokriće ostvaren u manjem iznosu.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donacije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Prošle godine nismo ostvarili donacije od fizičkih osoba, kao ni od neprofitnih organizacija ili čak od trgovačkih društava. U ovoj godini jesmo u ukupnom iznosu od 830,00 €.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759.660,68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979.463,80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128,9</w:t>
            </w:r>
          </w:p>
        </w:tc>
      </w:tr>
    </w:tbl>
    <w:p>
      <w:pPr>
        <w:spacing w:before="0" w:after="0"/>
      </w:pPr>
    </w:p>
    <w:p>
      <w:pPr>
        <w:jc w:val="both"/>
        <w:pStyle w:val="Normal"/>
        <w:spacing w:line="240" w:lineRule="auto"/>
      </w:pPr>
      <w:r>
        <w:rPr>
          <w:sz w:val="24"/>
          <w:rFonts w:ascii="Times New Roman" w:hAnsi="Times New Roman"/>
        </w:rPr>
        <w:t>Iznosi rashoda su u ovogodišnjem razdoblju veći iz razloga što su iznosi troškova plaće veći, ali isto tako su cijene dobavljača porasle za materijalne rashode i rashodi za usluge u odnosu na 2024. godinu.</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13.729,65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10.706,90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78,0</w:t>
            </w:r>
          </w:p>
        </w:tc>
      </w:tr>
    </w:tbl>
    <w:p>
      <w:pPr>
        <w:spacing w:before="0" w:after="0"/>
      </w:pPr>
    </w:p>
    <w:p>
      <w:pPr>
        <w:jc w:val="both"/>
        <w:pStyle w:val="Normal"/>
        <w:spacing w:line="240" w:lineRule="auto"/>
      </w:pPr>
      <w:r>
        <w:rPr>
          <w:sz w:val="24"/>
          <w:rFonts w:ascii="Times New Roman" w:hAnsi="Times New Roman"/>
        </w:rPr>
        <w:t>Rashodi po osnovi taxi prijevoza u tekućem su razdoblju manji u odnosu na prethodnu godinu, a glavni razlog smanjenja je činjenica da do trenutka izrade izvještaja nisu bili ispostavljeni računi za prijevoz djece s teškoćama.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Reprezentacija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749,47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2.715,08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362,3</w:t>
            </w:r>
          </w:p>
        </w:tc>
      </w:tr>
    </w:tbl>
    <w:p>
      <w:pPr>
        <w:spacing w:before="0" w:after="0"/>
      </w:pPr>
    </w:p>
    <w:p>
      <w:pPr>
        <w:jc w:val="both"/>
        <w:pStyle w:val="Normal"/>
        <w:spacing w:line="240" w:lineRule="auto"/>
      </w:pPr>
      <w:r>
        <w:rPr>
          <w:sz w:val="24"/>
          <w:rFonts w:ascii="Times New Roman" w:hAnsi="Times New Roman"/>
        </w:rPr>
        <w:t>Iznos reprezentacije je veći u izvještajnom razdoblju u odnosu na prethodnu godinu iz razloga što je održan svečani domjenak za kraj uspješne nastavne godine u većem broju.</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120.389,91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Obračunate prihode poslovanja čini iznos plaće za lipanj kojem će se knjižiti priznavanje u srpnju.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7.101,50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w:t>
            </w:r>
          </w:p>
        </w:tc>
      </w:tr>
    </w:tbl>
    <w:p>
      <w:pPr>
        <w:spacing w:before="0" w:after="0"/>
      </w:pPr>
    </w:p>
    <w:p>
      <w:pPr>
        <w:jc w:val="both"/>
        <w:pStyle w:val="Normal"/>
        <w:spacing w:line="240" w:lineRule="auto"/>
      </w:pPr>
      <w:r>
        <w:rPr>
          <w:sz w:val="24"/>
          <w:rFonts w:ascii="Times New Roman" w:hAnsi="Times New Roman"/>
        </w:rPr>
        <w:t>U ovogodišnjem izvještaju nije još realizirana nabava dugotrajne imovine, te je iz tog razloga iznos rashoda značajno manji u odnosu na prošlogodišnje izvještajno razdoblje.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Knjige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Nabavljeni udžbenici engleskog jezika u iznosu od 113,40.</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Manjak prihoda i primitaka za pokriće u sljedećem razdoblju (šifre Y005 + '9222-9221' - X005 - '9221-9222'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Y006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103.924,76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Manjak prihoda čini razliku ukupnih prihoda i ukupnih rashoda, uvećano za iznos rashoda za nabavu dugotrajne imovine. Od tog ukupnog iznosa se odbija višak prihoda i primitaka preneseni iz 2024. godine koji je iznosio 16.857,79 što onda u konačniji daje rezultat manjka prihoda i primitaka u izvještajnom razdoblju u iznosu od 103.924,76 €.</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Obveze za nabavu nefinancijske imovine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Obveze za nabavu udžbenika.</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 dan 30.06.2025. stanje dospjelih obveza iznosi 0,00 EUR, što znači da na datum završetka razdoblja nisu evidentirane dospjele, a neizmirene obveze prema dobavljačima, zaposlenicima ili drugim vjerovnicima. Sva dugovanja nastala tijekom razdoblja podmirena su do dana izvještaja, a eventualne obveze s dospijećem nakon 30.06.2025. iskazane su u okviru nedospjelih obveza.
Stanje obveza na kraju izvještajnog razdoblja je 131.835,76 eura, a odnose se na troškove zaposlenika (plaće i doprinosi),  materijalne troškove i obveze proračunskih korisnika za povrat u proračun za bolovanje preko 42 dana na teret HZZO-a.
Kroz srpanj će biti podmirene obveze za isplatu plaće zaposlenima i pomoćnicima u nastavi, obveze za materijalne rashode, a obveze prema HZZO refundacije za bolovanja iznad 42 dana se zatvaraju prema obavijesti Ministarstva financija.
</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131.835,76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obveza na kraju izvještajnog razdoblja je 131.835,76 eura, a odnose se na troškove zaposlenika (plaće i doprinosi),  materijalne troškove i obveze proračunskih korisnika za povrat u proračun za bolovanje preko 42 dana na teret HZZO-a.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dff46497037c448f" /></Relationships>
</file>