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C2" w:rsidRDefault="00700E08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  <w:t xml:space="preserve">OBRAZLOŽENJE UZ </w:t>
      </w:r>
      <w:r w:rsidR="00284767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  <w:t>GODIŠNJI IZVJEŠTAJ O IZVRŠENJU FINANCIJSKOG PLANA SREDNJE STRUKOVNE ŠKOLE KRALJA ZVONIMIRA KNIN ZA 2024. GODINU</w:t>
      </w: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hr-HR"/>
          <w14:ligatures w14:val="standardContextual"/>
        </w:rPr>
      </w:pPr>
    </w:p>
    <w:p w:rsidR="000D0EC2" w:rsidRDefault="00284767">
      <w:pPr>
        <w:spacing w:line="240" w:lineRule="auto"/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  <w:t>T: 022/660-000</w:t>
      </w:r>
    </w:p>
    <w:p w:rsidR="000D0EC2" w:rsidRDefault="00284767">
      <w:pPr>
        <w:spacing w:line="240" w:lineRule="auto"/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0"/>
          <w:lang w:val="hr-HR"/>
          <w14:ligatures w14:val="standardContextual"/>
        </w:rPr>
        <w:t xml:space="preserve">E: </w:t>
      </w:r>
      <w:hyperlink r:id="rId10" w:history="1">
        <w:r>
          <w:rPr>
            <w:rFonts w:ascii="Times New Roman" w:eastAsia="Calibri" w:hAnsi="Times New Roman" w:cs="Times New Roman"/>
            <w:b/>
            <w:color w:val="0000FF"/>
            <w:kern w:val="2"/>
            <w:sz w:val="20"/>
            <w:u w:val="single"/>
            <w:lang w:val="hr-HR"/>
            <w14:ligatures w14:val="standardContextual"/>
          </w:rPr>
          <w:t>ured@ss-strukovna-kralja-zvonimira-kn.skole.hr</w:t>
        </w:r>
      </w:hyperlink>
    </w:p>
    <w:p w:rsidR="000D0EC2" w:rsidRDefault="000D0EC2">
      <w:pPr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b/>
          <w:color w:val="0000FF"/>
          <w:kern w:val="2"/>
          <w:sz w:val="20"/>
          <w:u w:val="single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val="hr-HR" w:eastAsia="hr-HR"/>
          <w14:ligatures w14:val="standardContextual"/>
        </w:rPr>
      </w:pPr>
      <w:r>
        <w:rPr>
          <w:rFonts w:ascii="Times New Roman" w:eastAsia="Calibri" w:hAnsi="Times New Roman" w:cs="Times New Roman"/>
          <w:b/>
          <w:bCs/>
          <w:color w:val="000000"/>
          <w:kern w:val="2"/>
          <w:sz w:val="24"/>
          <w:szCs w:val="24"/>
          <w:u w:val="single"/>
          <w:lang w:val="hr-HR" w:eastAsia="hr-HR"/>
          <w14:ligatures w14:val="standardContextual"/>
        </w:rPr>
        <w:t>1. Uvod</w:t>
      </w:r>
    </w:p>
    <w:p w:rsidR="000D0EC2" w:rsidRDefault="000D0EC2">
      <w:pPr>
        <w:rPr>
          <w:rFonts w:ascii="Times New Roman" w:eastAsia="Calibri" w:hAnsi="Times New Roman" w:cs="Times New Roman"/>
          <w:b/>
          <w:bCs/>
          <w:color w:val="000000"/>
          <w:kern w:val="2"/>
          <w:sz w:val="18"/>
          <w:szCs w:val="18"/>
          <w:lang w:val="hr-HR" w:eastAsia="hr-HR"/>
          <w14:ligatures w14:val="standardContextual"/>
        </w:rPr>
      </w:pP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Zakonom o proračunu (NN broj 144/21) čl. 86 stavkom 3. propisana je obveza sastavljanja i podnošenja polugodišnjeg izvještaja o izvršenju financijskog plana za tekuću proračunsku godinu na usvajanje Školskom odboru škole. Na sadržaj polugodišnjeg izvještaja o izvršenju financijskog plana primjenjuje se odredba članka 81. stavka 1. Zakona o proračunu . Polugodišnji izvještaj o izvršenju financijskog plana sadrži: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Opći dio financijskog plana - Račun prihoda i rashoda i Račun financiranja na razini odjeljka ekonomske klasifikacije,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posebni dio financijskog plana – izvršenje prihoda i rashoda iskazanih po izvorima financiranja i ekonomskoj klasifikaciji, raspoređenih u programe koji se sastoje od aktivnosti i projekata, na razini odjeljka ekonomske klasifikacije,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posebne izvještaje: – izvještaj o zaduživanju na domaćem i stranom tržištu novca i kapitala – izvještaj o danim zajmovima i potraživanjima po danim zajmovima – izvještaj o stanju potraživanja i dospjelih obveza te o stanju potencijalnih obveza po osnovi sudskih sporova.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• obrazloženje ostvarenih prihoda i primitaka te rashoda i izdataka. </w:t>
      </w:r>
    </w:p>
    <w:p w:rsidR="000D0EC2" w:rsidRDefault="00284767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 skladu sa zakon</w:t>
      </w:r>
      <w:r w:rsidR="00B866AF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skom obvezom, sastavljen je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godišnji izvještaj o izvršenju Financijskog plana Srednje strukovne škole kralja Zvonimira  za 2024. godinu. Prema odredbama Zakona o proračunu podaci o izvršenju prihoda i primitaka te rashoda i izdataka, iskazani su na razini odjeljka ekonomske klasifikacije (četvrta razina računskog plana). Financiranje rashoda Srednje strukovne škole kralja Zvonimira tijekom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>2024. godine izvršeno je temeljem Financijskog plana za 2024. godinu i projekcija za 2025. i 2026. godinu, usvojenih na sjednici Školskog odbora. Srednja strukovna škola kralja Zvonimira od 23.10.2007. posluje putem jedinstvenog računa Županijske riznice, odnosno jedinstvenog bankovnog računa. Time su objedinjena plaćanja, primanja, čuvanja i prijenos svih prihoda i primitaka te rashoda i izdataka .</w:t>
      </w:r>
    </w:p>
    <w:p w:rsidR="00583B6F" w:rsidRDefault="00583B6F">
      <w:pPr>
        <w:ind w:left="360"/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866AF" w:rsidRPr="00B866AF" w:rsidTr="00754893">
        <w:trPr>
          <w:trHeight w:val="330"/>
        </w:trPr>
        <w:tc>
          <w:tcPr>
            <w:tcW w:w="10035" w:type="dxa"/>
            <w:shd w:val="clear" w:color="auto" w:fill="auto"/>
          </w:tcPr>
          <w:p w:rsidR="00B866AF" w:rsidRPr="00B866AF" w:rsidRDefault="00B866AF" w:rsidP="00B866AF">
            <w:pPr>
              <w:spacing w:before="28" w:after="28" w:line="240" w:lineRule="auto"/>
              <w:ind w:left="572" w:right="572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GODIŠNJI IZVJEŠTAJ O IZVRŠENJU FINANCIJSKOG PLANA ZA 2024. GODINU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16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866AF" w:rsidRPr="00B866AF" w:rsidTr="00754893">
        <w:trPr>
          <w:trHeight w:val="270"/>
        </w:trPr>
        <w:tc>
          <w:tcPr>
            <w:tcW w:w="10035" w:type="dxa"/>
            <w:shd w:val="clear" w:color="auto" w:fill="auto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1. OPĆI DIO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24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866AF" w:rsidRPr="00B866AF" w:rsidTr="00754893">
        <w:trPr>
          <w:trHeight w:val="285"/>
        </w:trPr>
        <w:tc>
          <w:tcPr>
            <w:tcW w:w="10035" w:type="dxa"/>
            <w:shd w:val="clear" w:color="auto" w:fill="auto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1.1. SAŽETAK RAČUNA PRIHODA I RASHODA I RAČUNA FINANCIRANJA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34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866AF" w:rsidRPr="00B866AF" w:rsidTr="00754893">
        <w:trPr>
          <w:trHeight w:val="255"/>
        </w:trPr>
        <w:tc>
          <w:tcPr>
            <w:tcW w:w="10035" w:type="dxa"/>
            <w:shd w:val="clear" w:color="auto" w:fill="auto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A) SAŽETAK RAČUNA PRIHODA I RASHODA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25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866AF" w:rsidRPr="00B866AF" w:rsidTr="00754893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B866AF" w:rsidRPr="00B866AF" w:rsidTr="00754893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B866AF" w:rsidRPr="00B866AF" w:rsidTr="00754893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1.385.748,30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1.605.677,00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1.596.736,36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115,23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99,44</w:t>
            </w:r>
          </w:p>
        </w:tc>
      </w:tr>
      <w:tr w:rsidR="00B866AF" w:rsidRPr="00B866AF" w:rsidTr="00754893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 PRIHODI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1.385.748,30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1.605.677,00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1.596.736,36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115,23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99,44</w:t>
            </w:r>
          </w:p>
        </w:tc>
      </w:tr>
      <w:tr w:rsidR="00B866AF" w:rsidRPr="00B866AF" w:rsidTr="00754893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 PRIHODI OD PRODAJE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B866AF" w:rsidRPr="00B866AF" w:rsidTr="00754893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UKUPNO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1.418.906,84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113,07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  <w:tr w:rsidR="00B866AF" w:rsidRPr="00B866AF" w:rsidTr="00754893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 RASHODI POSLOVANJA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1.401.000,84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1.595.133,00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1.590.082,14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113,50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99,68</w:t>
            </w:r>
          </w:p>
        </w:tc>
      </w:tr>
      <w:tr w:rsidR="00B866AF" w:rsidRPr="00B866AF" w:rsidTr="00754893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 RASHODI ZA NABAVU NEFINANCIJSKE IMOVINE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17.906,00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19.096,00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14.251,21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79,59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74,63</w:t>
            </w:r>
          </w:p>
        </w:tc>
      </w:tr>
      <w:tr w:rsidR="00B866AF" w:rsidRPr="00B866AF" w:rsidTr="00754893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RAZLIKA - VIŠAK / MANJAK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- 33.158,54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- 8.552,00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- 7.596,99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22,91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88,83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34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866AF" w:rsidRPr="00B866AF" w:rsidTr="00754893">
        <w:trPr>
          <w:trHeight w:val="255"/>
        </w:trPr>
        <w:tc>
          <w:tcPr>
            <w:tcW w:w="10035" w:type="dxa"/>
            <w:shd w:val="clear" w:color="auto" w:fill="auto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B) SAŽETAK RAČUNA FINANCIRANJA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15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866AF" w:rsidRPr="00B866AF" w:rsidTr="00754893">
        <w:trPr>
          <w:trHeight w:val="735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B866AF" w:rsidRPr="00B866AF" w:rsidTr="00754893">
        <w:trPr>
          <w:trHeight w:val="27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B866AF" w:rsidRPr="00B866AF" w:rsidTr="00754893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 PRIMICI OD FINANCIJSKE IMOVINE I ZADUŽIVANJA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B866AF" w:rsidRPr="00B866AF" w:rsidTr="00754893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 IZDACI ZA FINANCIJSKU IMOVINU I OTPLATE ZAJMOVA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B866AF" w:rsidRPr="00B866AF" w:rsidTr="00754893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NETO FINANCIRANJE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34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5"/>
      </w:tblGrid>
      <w:tr w:rsidR="00B866AF" w:rsidRPr="00B866AF" w:rsidTr="00754893">
        <w:trPr>
          <w:trHeight w:val="255"/>
        </w:trPr>
        <w:tc>
          <w:tcPr>
            <w:tcW w:w="10035" w:type="dxa"/>
            <w:shd w:val="clear" w:color="auto" w:fill="auto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C) PRENESENI VIŠAK ILI PRENESENI MANJAK</w:t>
            </w:r>
          </w:p>
        </w:tc>
      </w:tr>
    </w:tbl>
    <w:p w:rsidR="00B866AF" w:rsidRPr="00B866AF" w:rsidRDefault="00B866AF" w:rsidP="00B866AF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B866AF" w:rsidRPr="00B866AF" w:rsidRDefault="00B866AF" w:rsidP="00B866AF">
      <w:pPr>
        <w:spacing w:after="0" w:line="13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5"/>
        <w:gridCol w:w="1485"/>
        <w:gridCol w:w="1485"/>
        <w:gridCol w:w="1470"/>
        <w:gridCol w:w="855"/>
        <w:gridCol w:w="840"/>
      </w:tblGrid>
      <w:tr w:rsidR="00B866AF" w:rsidRPr="00B866AF" w:rsidTr="00754893">
        <w:trPr>
          <w:trHeight w:val="720"/>
        </w:trPr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31.12.2023.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31.12.2024.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B866AF" w:rsidRPr="00B866AF" w:rsidTr="00754893">
        <w:trPr>
          <w:trHeight w:val="28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B866AF" w:rsidRPr="00B866AF" w:rsidTr="00754893">
        <w:trPr>
          <w:trHeight w:val="495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92 UKUPAN DONOS VIŠKA / MANJKA IZ PRETHODNIH GODINA*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24.455,19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8.552,00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16.857,79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68,93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9A9A9"/>
            <w:vAlign w:val="center"/>
          </w:tcPr>
          <w:p w:rsidR="00B866AF" w:rsidRPr="00B866AF" w:rsidRDefault="00754893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197,12</w:t>
            </w:r>
          </w:p>
        </w:tc>
      </w:tr>
      <w:tr w:rsidR="00B866AF" w:rsidRPr="00B866AF" w:rsidTr="00754893">
        <w:trPr>
          <w:trHeight w:val="480"/>
        </w:trPr>
        <w:tc>
          <w:tcPr>
            <w:tcW w:w="38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92 VIŠAK / MANJAK IZ PRETHODNIH GODINA KOJI ĆE SE RASPOREDITI / POKRITI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24.455,19</w:t>
            </w:r>
          </w:p>
        </w:tc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B866AF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8.552,00</w:t>
            </w:r>
          </w:p>
        </w:tc>
        <w:tc>
          <w:tcPr>
            <w:tcW w:w="14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16.857,79</w:t>
            </w:r>
          </w:p>
        </w:tc>
        <w:tc>
          <w:tcPr>
            <w:tcW w:w="8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B866AF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68,93</w:t>
            </w:r>
          </w:p>
        </w:tc>
        <w:tc>
          <w:tcPr>
            <w:tcW w:w="8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B866AF" w:rsidRPr="00B866AF" w:rsidRDefault="00754893" w:rsidP="00B866AF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197,12</w:t>
            </w:r>
          </w:p>
        </w:tc>
      </w:tr>
    </w:tbl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284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Opći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dio</w:t>
      </w:r>
      <w:proofErr w:type="spellEnd"/>
    </w:p>
    <w:p w:rsidR="00754893" w:rsidRPr="00754893" w:rsidRDefault="00754893" w:rsidP="00754893">
      <w:pPr>
        <w:spacing w:after="0" w:line="13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754893" w:rsidRPr="00754893" w:rsidTr="00754893">
        <w:trPr>
          <w:trHeight w:val="435"/>
        </w:trPr>
        <w:tc>
          <w:tcPr>
            <w:tcW w:w="10575" w:type="dxa"/>
            <w:shd w:val="clear" w:color="auto" w:fill="auto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1.2. RAČUN PRIHODA I RASHODA</w:t>
            </w:r>
          </w:p>
        </w:tc>
      </w:tr>
    </w:tbl>
    <w:p w:rsidR="00754893" w:rsidRPr="00754893" w:rsidRDefault="00754893" w:rsidP="00754893">
      <w:pPr>
        <w:spacing w:after="0" w:line="25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5"/>
      </w:tblGrid>
      <w:tr w:rsidR="00754893" w:rsidRPr="00754893" w:rsidTr="00754893">
        <w:trPr>
          <w:trHeight w:val="270"/>
        </w:trPr>
        <w:tc>
          <w:tcPr>
            <w:tcW w:w="10575" w:type="dxa"/>
            <w:shd w:val="clear" w:color="auto" w:fill="auto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  <w:t>1.2.1. IZVJEŠTAJ O PRIHODIMA I RASHODIMA PREMA EKONOMSKOJ KLASIFIKACIJI</w:t>
            </w:r>
          </w:p>
        </w:tc>
      </w:tr>
    </w:tbl>
    <w:p w:rsidR="00754893" w:rsidRPr="00754893" w:rsidRDefault="00754893" w:rsidP="00754893">
      <w:pPr>
        <w:spacing w:after="0" w:line="42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754893" w:rsidRPr="00754893" w:rsidTr="00754893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754893" w:rsidRPr="00754893" w:rsidTr="00754893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1.385.748,30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1.605.677,00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1.596.736,36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115,23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99,44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1.385.748,30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1.605.677,00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1.596.736,36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115,23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99,44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 iz inozemstva i od subjekata unutar općeg proračuna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1.216.341,77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1.421.153,00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1.414.365,10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116,28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99,52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1.204.978,37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1.414.365,10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117,38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1.201.534,87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1.411.691,17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117,49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6362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Kapitalne pomoći proračunskim korisnicima iz proračuna koji im nije nadležan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3.443,50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2.673,93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77,65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11.363,40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pomoći temeljem prijenosa EU sredstava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11.363,40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upravnih i administrativnih pristojbi, pristojbi po posebnim propisima i naknada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11.432,36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14.344,36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125,47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89,65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po posebnim propisima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11.432,36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14.344,36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125,47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prihodi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11.432,36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14.344,36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125,47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 te pruženih usluga, prihodi od donacija te povrati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4.553,18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694,58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15,25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138,92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prodaje proizvoda i robe te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553,18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694,58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125,56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od pruženih usluga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553,18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694,58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125,56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 od pravnih i fizičkih osoba izvan općeg proračuna te povrat donacija i kapitalnih pomoći po protestiranim jamstvima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i od HZZO-a temeljem ugovornih obveza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153.420,99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168.024,00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167.332,32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109,07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99,59</w:t>
            </w:r>
          </w:p>
        </w:tc>
      </w:tr>
      <w:tr w:rsidR="00754893" w:rsidRPr="00754893" w:rsidTr="00754893">
        <w:trPr>
          <w:trHeight w:val="66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redovne djelatnosti proračunskih korisnika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153.420,99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167.332,32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109,07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rashoda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150.100,99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155.812,32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103,80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64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6712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Prihodi iz nadležnog proračuna za financiranje rashoda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3.320,00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346,99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754893" w:rsidRPr="00754893" w:rsidRDefault="00754893" w:rsidP="00754893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754893" w:rsidRPr="00754893">
          <w:headerReference w:type="default" r:id="rId11"/>
          <w:footerReference w:type="default" r:id="rId12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754893" w:rsidRPr="00754893" w:rsidTr="00754893">
        <w:trPr>
          <w:trHeight w:val="645"/>
        </w:trPr>
        <w:tc>
          <w:tcPr>
            <w:tcW w:w="39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Brojčana oznaka i naziv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Ostvarenje / izvršenje 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31.12.2024.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754893" w:rsidRPr="00754893" w:rsidTr="00754893">
        <w:trPr>
          <w:trHeight w:val="195"/>
        </w:trPr>
        <w:tc>
          <w:tcPr>
            <w:tcW w:w="390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74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9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7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1.418.906,84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113,07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1.401.000,84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1.595.133,00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1.590.082,14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113,50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99,68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1.164.924,28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1.401.858,00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1.401.852,96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120,34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(Bruto)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966.880,10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1.163.335,30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966.880,10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1.163.335,30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120,32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38.905,42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46.567,39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119,69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38.905,42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46.567,39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119,69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na plaće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159.138,76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191.950,27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120,62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158.963,16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191.950,27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120,75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osiguranje u slučaju nezaposlenosti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175,60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233.870,44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192.736,00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187.692,65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80,25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97,38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111.936,56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67.912,04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60,67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35.025,24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2.936,92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8,39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71.879,26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57.934,49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80,60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445,00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520,00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116,85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4.587,06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6.520,63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142,15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2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materijal i energiju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28.703,75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32.912,05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114,66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22.343,65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22.566,24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101,00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29,39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41,06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139,71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3.094,49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5.963,12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192,70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3.020,91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3.941,76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130,48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215,31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399,87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185,72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59.587,51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66.676,18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111,90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27.533,20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27.976,07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101,61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13.735,28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20.457,19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148,94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158,06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141,82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89,73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7.821,00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8.212,04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105,00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754893" w:rsidRPr="00754893" w:rsidRDefault="00754893" w:rsidP="00754893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754893" w:rsidRPr="00754893">
          <w:headerReference w:type="default" r:id="rId13"/>
          <w:footerReference w:type="default" r:id="rId14"/>
          <w:pgSz w:w="11908" w:h="16833"/>
          <w:pgMar w:top="1080" w:right="481" w:bottom="850" w:left="827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43,80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841,35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1920,89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5.725,36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4.460,65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77,91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4.339,56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4.587,06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105,70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231,25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33.642,62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20.192,38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60,02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1.532,00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2.476,49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161,65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1.979,69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1.988,00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100,42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3296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Troškovi sudskih postupaka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5.752,09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24.378,84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15.692,89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64,37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1.934,39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232,00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230,20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99,22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financijski rashodi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1.934,39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230,20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11,90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230,20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127,89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Zatezne kamate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1.754,39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271,73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307,00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112,73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99,78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271,73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112,73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271,73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112,73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nabavu nefinancijske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17.906,00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19.096,00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14.251,21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79,59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74,63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14.586,00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19.096,00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14.251,21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97,70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74,63</w:t>
            </w: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Postrojenja i oprema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10.617,81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8.921,00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84,02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5.138,50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3.782,50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4227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Uređaji, strojevi i oprema za ostale namjene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10.617,81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423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Prijevozna sredstva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2.599,00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4231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Prijevozna sredstva u cestovnom prometu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2.599,00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Knjige, umjetnička djela i ostale izložbene vrijednosti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3.968,19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2.731,21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3.968,19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2.731,21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68,83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45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Rashodi za dodatna ulaganja na nefinancijskoj imovini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3.320,00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451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3.320,00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Default="0019128A" w:rsidP="00754893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</w:pPr>
    </w:p>
    <w:p w:rsidR="0019128A" w:rsidRDefault="0019128A" w:rsidP="0019128A">
      <w:pPr>
        <w:tabs>
          <w:tab w:val="left" w:pos="2610"/>
        </w:tabs>
        <w:rPr>
          <w:rFonts w:ascii="Calibri" w:eastAsia="Calibri" w:hAnsi="Calibri" w:cs="Calibri"/>
          <w:szCs w:val="20"/>
          <w:lang w:val="hr-HR" w:eastAsia="hr-HR"/>
        </w:rPr>
      </w:pPr>
    </w:p>
    <w:p w:rsidR="00754893" w:rsidRPr="0019128A" w:rsidRDefault="0019128A" w:rsidP="0019128A">
      <w:pPr>
        <w:tabs>
          <w:tab w:val="left" w:pos="2610"/>
        </w:tabs>
        <w:rPr>
          <w:rFonts w:ascii="Calibri" w:eastAsia="Calibri" w:hAnsi="Calibri" w:cs="Calibri"/>
          <w:szCs w:val="20"/>
          <w:lang w:val="hr-HR" w:eastAsia="hr-HR"/>
        </w:rPr>
        <w:sectPr w:rsidR="00754893" w:rsidRPr="0019128A">
          <w:headerReference w:type="default" r:id="rId15"/>
          <w:footerReference w:type="default" r:id="rId16"/>
          <w:pgSz w:w="11908" w:h="16833"/>
          <w:pgMar w:top="1080" w:right="481" w:bottom="850" w:left="827" w:header="0" w:footer="0" w:gutter="0"/>
          <w:cols w:space="720"/>
          <w:formProt w:val="0"/>
        </w:sectPr>
      </w:pPr>
      <w:r>
        <w:rPr>
          <w:rFonts w:ascii="Calibri" w:eastAsia="Calibri" w:hAnsi="Calibri" w:cs="Calibri"/>
          <w:szCs w:val="20"/>
          <w:lang w:val="hr-HR" w:eastAsia="hr-HR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330"/>
        <w:gridCol w:w="1725"/>
        <w:gridCol w:w="1740"/>
        <w:gridCol w:w="1740"/>
        <w:gridCol w:w="795"/>
        <w:gridCol w:w="675"/>
      </w:tblGrid>
      <w:tr w:rsidR="00754893" w:rsidRPr="00754893" w:rsidTr="00754893">
        <w:trPr>
          <w:trHeight w:val="510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4511</w:t>
            </w:r>
          </w:p>
        </w:tc>
        <w:tc>
          <w:tcPr>
            <w:tcW w:w="3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Dodatna ulaganja na građevinskim objektima</w:t>
            </w:r>
          </w:p>
        </w:tc>
        <w:tc>
          <w:tcPr>
            <w:tcW w:w="17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3.320,00</w:t>
            </w: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7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</w:t>
            </w:r>
          </w:p>
        </w:tc>
        <w:tc>
          <w:tcPr>
            <w:tcW w:w="6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754893" w:rsidRPr="00754893" w:rsidRDefault="00754893" w:rsidP="00754893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0D0EC2" w:rsidRDefault="000D0EC2">
      <w:pPr>
        <w:rPr>
          <w:rFonts w:ascii="Times New Roman" w:hAnsi="Times New Roman" w:cs="Times New Roman"/>
        </w:rPr>
      </w:pPr>
    </w:p>
    <w:p w:rsidR="000D0EC2" w:rsidRDefault="000D0EC2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4893" w:rsidRPr="00754893" w:rsidTr="00754893">
        <w:trPr>
          <w:trHeight w:val="300"/>
        </w:trPr>
        <w:tc>
          <w:tcPr>
            <w:tcW w:w="10050" w:type="dxa"/>
            <w:shd w:val="clear" w:color="auto" w:fill="auto"/>
          </w:tcPr>
          <w:p w:rsidR="00754893" w:rsidRPr="00754893" w:rsidRDefault="00754893" w:rsidP="00754893">
            <w:pPr>
              <w:spacing w:before="28" w:after="28" w:line="240" w:lineRule="auto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1.2.2. IZVJEŠTAJ O PRIHODIMA I RASHODIMA PREMA IZVORIMA FINANCIRANJA</w:t>
            </w:r>
          </w:p>
        </w:tc>
      </w:tr>
    </w:tbl>
    <w:p w:rsidR="00754893" w:rsidRPr="00754893" w:rsidRDefault="00754893" w:rsidP="00754893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4893" w:rsidRPr="00754893" w:rsidTr="00754893">
        <w:trPr>
          <w:trHeight w:val="315"/>
        </w:trPr>
        <w:tc>
          <w:tcPr>
            <w:tcW w:w="10050" w:type="dxa"/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:rsidR="00754893" w:rsidRPr="00754893" w:rsidRDefault="00754893" w:rsidP="00754893">
      <w:pPr>
        <w:spacing w:after="0" w:line="21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754893" w:rsidRPr="00754893" w:rsidTr="00754893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754893" w:rsidRPr="00754893" w:rsidTr="00754893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1.385.748,30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1.605.677,00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1.596.736,36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115,23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99,44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153.420,99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168.024,00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167.332,32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109,07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99,59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1.332,61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4.779,00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4.774,69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358,30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99,91</w:t>
            </w:r>
          </w:p>
        </w:tc>
      </w:tr>
      <w:tr w:rsidR="00754893" w:rsidRPr="00754893" w:rsidTr="00754893">
        <w:trPr>
          <w:trHeight w:val="525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144.099,55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154.917,00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154.232,83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107,03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99,56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7.988,83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8.328,00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8.324,80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104,21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553,18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694,58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125,56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138,92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553,18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694,58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125,56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138,92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11.432,36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14.344,36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125,47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89,65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11.432,36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16.000,00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14.344,36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125,47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89,65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1.216.341,77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1.421.153,00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1.414.365,10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116,28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99,52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EU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11.363,40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1.204.978,37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1.421.153,00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1.414.365,10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117,38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99,52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4.000,00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54893" w:rsidRPr="00754893" w:rsidTr="00754893">
        <w:trPr>
          <w:trHeight w:val="300"/>
        </w:trPr>
        <w:tc>
          <w:tcPr>
            <w:tcW w:w="10050" w:type="dxa"/>
            <w:gridSpan w:val="7"/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20"/>
                <w:szCs w:val="20"/>
                <w:lang w:val="hr-HR" w:eastAsia="hr-HR"/>
              </w:rPr>
            </w:pPr>
          </w:p>
        </w:tc>
      </w:tr>
    </w:tbl>
    <w:p w:rsidR="00754893" w:rsidRPr="00754893" w:rsidRDefault="00754893" w:rsidP="00754893">
      <w:pPr>
        <w:spacing w:after="0" w:line="22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45"/>
        <w:gridCol w:w="1860"/>
        <w:gridCol w:w="1860"/>
        <w:gridCol w:w="780"/>
        <w:gridCol w:w="660"/>
      </w:tblGrid>
      <w:tr w:rsidR="00754893" w:rsidRPr="00754893" w:rsidTr="00754893">
        <w:trPr>
          <w:trHeight w:val="555"/>
        </w:trPr>
        <w:tc>
          <w:tcPr>
            <w:tcW w:w="3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31.12.2023.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Ostvarenje / 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 xml:space="preserve"> 4 / 3</w:t>
            </w:r>
          </w:p>
        </w:tc>
      </w:tr>
      <w:tr w:rsidR="00754893" w:rsidRPr="00754893" w:rsidTr="00754893">
        <w:trPr>
          <w:trHeight w:val="225"/>
        </w:trPr>
        <w:tc>
          <w:tcPr>
            <w:tcW w:w="30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1</w:t>
            </w:r>
          </w:p>
        </w:tc>
        <w:tc>
          <w:tcPr>
            <w:tcW w:w="184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2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3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5</w:t>
            </w:r>
          </w:p>
        </w:tc>
        <w:tc>
          <w:tcPr>
            <w:tcW w:w="6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4"/>
                <w:szCs w:val="14"/>
                <w:lang w:val="hr-HR" w:eastAsia="hr-HR"/>
              </w:rPr>
              <w:t>6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1.418.906,84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113,07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153.440,99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168.024,00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167.357,32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109,07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99,60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1.332,61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4.779,00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4.774,69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358,30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99,91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144.119,55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154.917,00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154.257,83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107,03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99,57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7.988,83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8.328,00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8.324,80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104,21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PRIHODI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14.516,30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18.156,00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14.194,63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97,78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78,18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43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PRIHODI ZA POSEBNE NAMJENE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14.516,30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18.156,00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14.194,63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97,78</w:t>
            </w:r>
          </w:p>
        </w:tc>
        <w:tc>
          <w:tcPr>
            <w:tcW w:w="6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78,18</w:t>
            </w:r>
          </w:p>
        </w:tc>
      </w:tr>
    </w:tbl>
    <w:p w:rsidR="00754893" w:rsidRPr="00754893" w:rsidRDefault="00754893" w:rsidP="00754893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754893" w:rsidRPr="00754893">
          <w:headerReference w:type="default" r:id="rId17"/>
          <w:footerReference w:type="default" r:id="rId18"/>
          <w:pgSz w:w="11908" w:h="16833"/>
          <w:pgMar w:top="850" w:right="884" w:bottom="850" w:left="958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565"/>
        <w:gridCol w:w="1860"/>
        <w:gridCol w:w="1845"/>
        <w:gridCol w:w="1860"/>
        <w:gridCol w:w="795"/>
        <w:gridCol w:w="645"/>
      </w:tblGrid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5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1.234.787,50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1.426.438,00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1.422.781,40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115,22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99,74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POMOĆI EU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42.666,18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1.595,00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1.594,65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3,74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99,98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52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1.192.121,32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1.424.843,00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1.421.186,75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119,21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99,74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16.162,05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1.111,00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754893" w:rsidRPr="00754893" w:rsidTr="00754893">
        <w:trPr>
          <w:trHeight w:val="51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61</w:t>
            </w:r>
          </w:p>
        </w:tc>
        <w:tc>
          <w:tcPr>
            <w:tcW w:w="25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16.162,05</w:t>
            </w:r>
          </w:p>
        </w:tc>
        <w:tc>
          <w:tcPr>
            <w:tcW w:w="18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1.111,00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54893" w:rsidRPr="00754893" w:rsidRDefault="00754893" w:rsidP="00754893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75489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0"/>
      </w:tblGrid>
      <w:tr w:rsidR="0019128A" w:rsidRPr="0019128A" w:rsidTr="0019128A">
        <w:trPr>
          <w:trHeight w:val="300"/>
        </w:trPr>
        <w:tc>
          <w:tcPr>
            <w:tcW w:w="10590" w:type="dxa"/>
            <w:shd w:val="clear" w:color="auto" w:fill="auto"/>
          </w:tcPr>
          <w:p w:rsidR="0019128A" w:rsidRPr="0019128A" w:rsidRDefault="0019128A" w:rsidP="0019128A">
            <w:pPr>
              <w:spacing w:before="28" w:after="28" w:line="240" w:lineRule="auto"/>
              <w:ind w:left="850" w:right="850"/>
              <w:jc w:val="center"/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9"/>
                <w:szCs w:val="19"/>
                <w:lang w:val="hr-HR" w:eastAsia="hr-HR"/>
              </w:rPr>
              <w:t>1.2.3. IZVJEŠTAJ O RASHODIMA PREMA FUNKCIJSKOJ KLASIFIKACIJI</w:t>
            </w: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128A" w:rsidRPr="0019128A" w:rsidRDefault="0019128A" w:rsidP="0019128A">
      <w:pPr>
        <w:spacing w:after="0" w:line="25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10590" w:type="dxa"/>
        <w:tblInd w:w="-7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725"/>
        <w:gridCol w:w="1740"/>
        <w:gridCol w:w="1725"/>
        <w:gridCol w:w="720"/>
        <w:gridCol w:w="720"/>
      </w:tblGrid>
      <w:tr w:rsidR="0019128A" w:rsidRPr="0019128A" w:rsidTr="0019128A">
        <w:trPr>
          <w:trHeight w:val="645"/>
        </w:trPr>
        <w:tc>
          <w:tcPr>
            <w:tcW w:w="3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Izvršenje </w:t>
            </w: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31.12.2023.</w:t>
            </w:r>
          </w:p>
        </w:tc>
        <w:tc>
          <w:tcPr>
            <w:tcW w:w="17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7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Izvršenje 31.12.2024.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2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Indeks</w:t>
            </w: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4 / 3</w:t>
            </w:r>
          </w:p>
        </w:tc>
      </w:tr>
      <w:tr w:rsidR="0019128A" w:rsidRPr="0019128A" w:rsidTr="0019128A">
        <w:trPr>
          <w:trHeight w:val="22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6</w:t>
            </w:r>
          </w:p>
        </w:tc>
      </w:tr>
      <w:tr w:rsidR="0019128A" w:rsidRPr="0019128A" w:rsidTr="0019128A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RASHODI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1.418.906,84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113,07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  <w:tr w:rsidR="0019128A" w:rsidRPr="0019128A" w:rsidTr="0019128A">
        <w:trPr>
          <w:trHeight w:val="375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09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1.418.906,84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113,07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  <w:tr w:rsidR="0019128A" w:rsidRPr="0019128A" w:rsidTr="0019128A">
        <w:trPr>
          <w:trHeight w:val="360"/>
        </w:trPr>
        <w:tc>
          <w:tcPr>
            <w:tcW w:w="39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092 Srednjoškolsko  obrazovanje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1.418.906,84</w:t>
            </w:r>
          </w:p>
        </w:tc>
        <w:tc>
          <w:tcPr>
            <w:tcW w:w="174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7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113,07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284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Posebni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dio</w:t>
      </w:r>
      <w:proofErr w:type="spellEnd"/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9915"/>
      </w:tblGrid>
      <w:tr w:rsidR="0019128A" w:rsidRPr="0019128A" w:rsidTr="0019128A">
        <w:trPr>
          <w:trHeight w:val="840"/>
        </w:trPr>
        <w:tc>
          <w:tcPr>
            <w:tcW w:w="30" w:type="dxa"/>
          </w:tcPr>
          <w:p w:rsidR="0019128A" w:rsidRPr="0019128A" w:rsidRDefault="0019128A" w:rsidP="0019128A">
            <w:pPr>
              <w:spacing w:after="0" w:line="240" w:lineRule="auto"/>
              <w:rPr>
                <w:rFonts w:ascii="Calibri" w:eastAsia="Calibri" w:hAnsi="Calibri" w:cs="Calibri"/>
                <w:sz w:val="1"/>
                <w:szCs w:val="1"/>
                <w:lang w:val="hr-HR" w:eastAsia="hr-HR"/>
              </w:rPr>
            </w:pPr>
          </w:p>
        </w:tc>
        <w:tc>
          <w:tcPr>
            <w:tcW w:w="9915" w:type="dxa"/>
            <w:shd w:val="clear" w:color="auto" w:fill="auto"/>
          </w:tcPr>
          <w:p w:rsidR="0019128A" w:rsidRPr="0019128A" w:rsidRDefault="0019128A" w:rsidP="0019128A">
            <w:pPr>
              <w:spacing w:before="28" w:after="28" w:line="240" w:lineRule="auto"/>
              <w:ind w:left="1133" w:right="1133"/>
              <w:jc w:val="center"/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t>2. POSEBNI DIO</w:t>
            </w:r>
            <w:r w:rsidRPr="0019128A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br/>
            </w:r>
            <w:r w:rsidRPr="0019128A">
              <w:rPr>
                <w:rFonts w:ascii="Arial" w:eastAsia="Arial" w:hAnsi="Arial" w:cs="Arial"/>
                <w:b/>
                <w:noProof/>
                <w:color w:val="000000"/>
                <w:lang w:val="hr-HR" w:eastAsia="hr-HR"/>
              </w:rPr>
              <w:br/>
              <w:t>2.1. IZVJEŠTAJ PO PROGRAMSKOJ KLASIFIKACIJI</w:t>
            </w:r>
          </w:p>
        </w:tc>
      </w:tr>
    </w:tbl>
    <w:p w:rsidR="0019128A" w:rsidRPr="0019128A" w:rsidRDefault="0019128A" w:rsidP="0019128A">
      <w:pPr>
        <w:spacing w:after="0" w:line="390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55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Brojčana oznaka i naziv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Rebalans za 2024. godinu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Izvršenje 31.12.2024.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 xml:space="preserve">Indeks </w:t>
            </w: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br/>
              <w:t>3 / 2</w:t>
            </w:r>
          </w:p>
        </w:tc>
      </w:tr>
      <w:tr w:rsidR="0019128A" w:rsidRPr="0019128A" w:rsidTr="0019128A">
        <w:trPr>
          <w:trHeight w:val="330"/>
        </w:trPr>
        <w:tc>
          <w:tcPr>
            <w:tcW w:w="57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center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</w:t>
            </w:r>
          </w:p>
        </w:tc>
      </w:tr>
      <w:tr w:rsidR="0019128A" w:rsidRPr="0019128A" w:rsidTr="0019128A">
        <w:trPr>
          <w:trHeight w:val="330"/>
        </w:trPr>
        <w:tc>
          <w:tcPr>
            <w:tcW w:w="57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UKUPNO :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1.614.229,00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1.604.333,35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99,39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GLAVA    30003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G- SREDNJE ŠKOLE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221.552,00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211.658,42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95,53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4.779,00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4.774,69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154.917,00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154.257,83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99,57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15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8.328,00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8.324,80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Ostali 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18.156,00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14.194,63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78,18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1.594,65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32.166,00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28.511,82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88,64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61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1.111,00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   1007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OSNOVNO I SREDNJEŠKOLSKO OBRAZOVANJE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221.552,00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211.658,42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95,53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A1007-10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SREDNJEŠKOLSKO OBRAZOVANJE - STANDARD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141.747,00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141.089,33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99,54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141.747,00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141.089,33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99,54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141.515,00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140.859,13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99,54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2.136,92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56.662,23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Stručno usavršavanje zaposlenika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520,00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5.298,08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21.851,57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Energija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4.696,62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2.616,04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Službena, radna i zaštitna odjeća i obuća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399,87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5.091,29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20.457,19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9128A" w:rsidRPr="0019128A">
          <w:headerReference w:type="default" r:id="rId19"/>
          <w:footerReference w:type="default" r:id="rId20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promidžbe i informiranja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141,82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Komunalne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8.212,04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Zdravstvene i veterinarske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841,35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Intelektualne i osobne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4.460,65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4.587,06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Reprezentacija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2.476,49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Članarine i norme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333,85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Financijski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230,20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99,22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3431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Bankarske usluge i usluge platnog prometa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230,20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SREDNJEŠKOLSKO OBRAZOVANJE - OPERATIVNI PLAN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1.648,50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1.648,50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99,91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1.650,00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1.648,50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382,00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 i dijelovi za tekuće i investicijsko održavanje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1.266,50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PODIZANJE KVALITETE I STANDARDA KROZ AKTIVNOSTI ŠKOLA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25.621,00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20.045,83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78,24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661,20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99,58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99,58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661,20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Vlastiti prihodi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43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Ostali prihodi za posebne namjene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18.156,00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14.194,63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78,18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15.725,00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13.994,13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88,99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368,39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tekućeg i investicijskog održavanja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9128A" w:rsidRPr="0019128A">
          <w:headerReference w:type="default" r:id="rId21"/>
          <w:footerReference w:type="default" r:id="rId22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3238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Računalne usluge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13.625,74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2.431,00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200,50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8,25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200,50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5.190,00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5.190,00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5.190,00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5.190,00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Uredski materijal i ostali 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332,67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1.325,72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2.031,61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1.000,00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61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Donacije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1.111,00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3225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Sitni inventar i autogume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A1007-28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PRIJEVOZ UČENIKA S TEŠKOĆAMA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22.024,00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20.484,78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93,01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22.024,00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20.484,78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93,01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22.024,00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20.484,78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93,01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Usluge telefona, interneta, pošte i prijevoza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20.484,78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T1007-66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ERASMUS+DANAŠNJA PRAKSA-SUTRAŠNJE STVARANJE (SSŠ KRALJA ZVONIMIRA)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1.594,65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99,98</w:t>
            </w:r>
          </w:p>
        </w:tc>
      </w:tr>
      <w:tr w:rsidR="0019128A" w:rsidRPr="0019128A" w:rsidTr="0019128A">
        <w:trPr>
          <w:trHeight w:val="525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Pomoći EU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1.595,00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1.594,65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99,98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1.594,65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Službena putovanja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Ostale naknade troškova zaposlenima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1.222,55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3299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nespomenuti rashodi poslovanja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72,10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T1007-45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ŠKOLA ZA ŽIVOT - KURIKULARNA REFOTMA /SŠ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4.645,00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2.530,71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54,48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2.530,71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54,48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4.645,00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2.530,71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54,48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4241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Knjige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2.530,71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9128A" w:rsidRPr="0019128A">
          <w:headerReference w:type="default" r:id="rId23"/>
          <w:footerReference w:type="default" r:id="rId24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Aktivnost A1007-70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KAPITALNA ULAGANJA I NABAVA OPREME U SREDNJEM ŠKOLSTVU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Sredstva za financiranje decentraliziranih funkcija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nabavu proizvedene dugotrajne imovine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11.520,00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Uredska oprema i namještaj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5.138,50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4223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Oprema za održavanje i zaštitu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3.782,50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4231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Prijevozna sredstva u cestovnom prometu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2.599,00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T1007-87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ZAJEDNO DO ZNANJA UZ VIŠE ELANA V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7.422,00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7.419,20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Opći prihodi i primici 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4.115,00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4.113,49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3.607,00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3.606,00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99,97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2.837,77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468,23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507,49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507,49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3.307,00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3.305,71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2.954,00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2.952,97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99,97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2.277,23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300,00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375,74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352,74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99,93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352,74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66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T1007-34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OPSKRBA ŠKOLSKIH USTANOVA BESPLATNIM ZALIHAMA MENSTRUALNIH HIGIJENSKIH POTREPŠTINA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99,78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99,78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donacije, kazne, naknade šteta i kapitalne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99,78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3812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Tekuće donacije u naravi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306,33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Tekući projekt T1007-46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ZAJEDNO DO ZNANJA UZ VIŠE ELANA VI - 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5.021,00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5.019,09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15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Predfinanciranje EU projekata iz sr.ŠKŽ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5.021,00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5.019,09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99,96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4.608,00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4.607,06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99,98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3.954,56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240" w:lineRule="auto"/>
        <w:rPr>
          <w:rFonts w:ascii="Calibri" w:eastAsia="Calibri" w:hAnsi="Calibri" w:cs="Calibri"/>
          <w:szCs w:val="20"/>
          <w:lang w:val="hr-HR" w:eastAsia="hr-HR"/>
        </w:rPr>
        <w:sectPr w:rsidR="0019128A" w:rsidRPr="0019128A">
          <w:headerReference w:type="default" r:id="rId25"/>
          <w:footerReference w:type="default" r:id="rId26"/>
          <w:pgSz w:w="11908" w:h="16833"/>
          <w:pgMar w:top="850" w:right="850" w:bottom="850" w:left="1111" w:header="0" w:footer="0" w:gutter="0"/>
          <w:cols w:space="720"/>
          <w:formProt w:val="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lastRenderedPageBreak/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652,50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413,00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412,03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99,77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3212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Naknade za prijevoz, za rad na terenu i odvojeni život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412,03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GLAVA    30004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G- DJELATNOST OSNOVNIH I SREDNJIH ŠKOLA IZVAN PRORAČUNA ŠKZ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1.392.674,93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1.392.674,93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PROGRAM    1007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OSNOVNO I SREDNJEŠKOLSKO OBRAZOVANJE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1.392.674,93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Aktivnost A1007-58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REDOVNA DJELATNOST ŠKOLA (EVIDENCIJSKI PRIHODI)-SŠ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1.392.674,93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b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Izvor financiranja   52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Ostale pomoći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1.392.677,00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1.392.674,93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i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1.390.689,00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1.390.686,93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3111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Plaće za redovan rad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1.154.265,74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3121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Ostali rashodi za zaposlene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45.967,39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3132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Doprinosi za obvezno zdravstveno osiguranje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190.453,80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p w:rsidR="0019128A" w:rsidRPr="0019128A" w:rsidRDefault="0019128A" w:rsidP="0019128A">
      <w:pPr>
        <w:spacing w:after="0" w:line="15" w:lineRule="exact"/>
        <w:rPr>
          <w:rFonts w:ascii="Calibri" w:eastAsia="Calibri" w:hAnsi="Calibri" w:cs="Calibri"/>
          <w:szCs w:val="20"/>
          <w:lang w:val="hr-HR" w:eastAsia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3690"/>
        <w:gridCol w:w="1665"/>
        <w:gridCol w:w="1680"/>
        <w:gridCol w:w="780"/>
      </w:tblGrid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Materijalni rashodi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1.988,00</w:t>
            </w: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1.988,00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100,00</w:t>
            </w:r>
          </w:p>
        </w:tc>
      </w:tr>
      <w:tr w:rsidR="0019128A" w:rsidRPr="0019128A" w:rsidTr="0019128A">
        <w:trPr>
          <w:trHeight w:val="510"/>
        </w:trPr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3295</w:t>
            </w:r>
          </w:p>
        </w:tc>
        <w:tc>
          <w:tcPr>
            <w:tcW w:w="36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before="28" w:after="28" w:line="240" w:lineRule="auto"/>
              <w:ind w:left="28" w:right="28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Pristojbe i naknade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  <w:tc>
          <w:tcPr>
            <w:tcW w:w="16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  <w:r w:rsidRPr="0019128A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  <w:t>1.988,00</w:t>
            </w:r>
          </w:p>
        </w:tc>
        <w:tc>
          <w:tcPr>
            <w:tcW w:w="78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9128A" w:rsidRPr="0019128A" w:rsidRDefault="0019128A" w:rsidP="0019128A">
            <w:pPr>
              <w:spacing w:after="0" w:line="240" w:lineRule="auto"/>
              <w:ind w:left="28" w:right="28"/>
              <w:jc w:val="right"/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hr-HR" w:eastAsia="hr-HR"/>
              </w:rPr>
            </w:pPr>
          </w:p>
        </w:tc>
      </w:tr>
    </w:tbl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128A" w:rsidRDefault="0019128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lastRenderedPageBreak/>
        <w:t>4. Obrazloženje općeg dijela</w:t>
      </w:r>
    </w:p>
    <w:p w:rsidR="000D0EC2" w:rsidRDefault="000D0EC2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Program srednjoškolskog obrazovanja Srednje strukovne škola kralja Zvonimira je ostvaren u iznosu od </w:t>
      </w:r>
      <w:r w:rsidR="00BC75C3" w:rsidRPr="009D7F3C">
        <w:rPr>
          <w:rFonts w:ascii="Times New Roman" w:hAnsi="Times New Roman" w:cs="Times New Roman"/>
          <w:bCs/>
          <w:sz w:val="24"/>
          <w:szCs w:val="24"/>
        </w:rPr>
        <w:t>1.604.333,35</w:t>
      </w:r>
      <w:r>
        <w:rPr>
          <w:rFonts w:ascii="Times New Roman" w:hAnsi="Times New Roman" w:cs="Times New Roman"/>
          <w:b/>
          <w:bCs/>
        </w:rPr>
        <w:t xml:space="preserve"> </w:t>
      </w:r>
      <w:r w:rsidR="00BC75C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ili 99,3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9 % u odnosu na godišnji plan. Aktivnosti i projekti izvršeni su u skladu sa planiranom dinamikom, a nastali su prema proračunu prošle godine. Kod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Erasmus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+ projekta „Današnja praksa – sutrašnje stvaranje“ preneseni višak od prethodnog razdoblja troši se za stručna usavršavanja djelatnika i učenika kroz mobilnost projekta.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Preneseni višak prihoda izvora financiranja 3102 - SŠ Vlastiti prihodi utrošiti ćemo djelomično do kraja 2024. godine kroz skupinu 32 odnosno na materijalne rashode.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4302 – SŠ Prihodi posebne namjene utrošiti ćemo djelomično  do kraja 2024.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5102 - SŠ Pomoći iz EU utrošiti ćemo djelomično do kraja 2024.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5202 - SŠ Pomoći iz državnog proračuna utrošiti ćemo djelomično do kraja 2024. godine kroz skupinu 32 odnosno na materijalne rashode.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Preneseni višak prihoda izvora financiranja 6102 - SŠ Pomoći iz državnog proračuna utrošiti ćemo djelomično do kraja 2024. godine kroz skupinu 32 odnosno na materijalne rashode.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5. Obrazloženje posebnog dijela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 Posebnom dijelu Financijskog plana svi planirani i izvršeni rashodi i izdaci raspoređeni po izvorima financiranja i ekonomskoj klasifikaciji, raspoređeni u programe koji se sastoje od aktivnosti i projekata.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Srednjoškolsko obrazovanje – standard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rashodi su planirani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141.747,00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eura, a ostvareni su u iznosu od </w:t>
      </w:r>
      <w:r w:rsidR="00BC75C3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141.089,33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 w:rsidR="00BC75C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eura tj. 99,54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od godišnjeg plana.</w:t>
      </w:r>
      <w:r>
        <w:rPr>
          <w:rFonts w:ascii="Times New Roman" w:eastAsia="Calibri" w:hAnsi="Times New Roman" w:cs="Times New Roman"/>
          <w:kern w:val="2"/>
          <w:lang w:val="hr-HR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Cilj 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je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ostvaren provedbom ove aktivnosti: nesmetano odvijanje nastavnog procesa na temelju Nastavnog plana i programa za srednje škole, Godišnjeg plana i programa rada škole i Školskog kurikuluma.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Srednjoškolsko obrazovanje - Operativni plan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1.650,00 eura , a realizirani su u iznosu od </w:t>
      </w:r>
      <w:r w:rsidR="00BC75C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1.648,50 eura odnosno 99,91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iznosu godišnjeg plana. Cilj 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 : nabava m</w:t>
      </w:r>
      <w:r w:rsidR="00BC75C3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aterijala za održavanje opreme te materija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la za redovno izvođenje nastave prema programskim odjeljenjima.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Navedene dvije aktivnosti odnose se na financiranje materijalnih rashoda koji su se financirali iz izvora Županijskih prihoda za decentralizirane funkcije.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Podizanje kvalitete i standarda kroz aktivnost srednje škole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su u iznosu 25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.621,00 eura, a realizirani su u iznosu od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20.045,83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ili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78,24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godišnjeg plana. Cilj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 xml:space="preserve">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aktivnosti: odnosi se na financiranje materijalnih rashoda, financijskih rashoda i rashoda za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realizaciju maturalne zabave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Navedeni rashodi financirani su iz izvora prihoda za posebne namjene, vlastitih prihoda i pomoći iz proračuna.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Prijevoz učenika s teškoćama u razvoju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22.024,00 eura , a realizirani su u iznosu od </w:t>
      </w:r>
      <w:r w:rsidR="0068130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20.484,78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ili</w:t>
      </w:r>
      <w:proofErr w:type="spellEnd"/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93,01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iznosu godišnjeg plana. Cilj 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je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ostvaren provedbom ove aktivnosti: prijevoz je učenika s teškoćama u razvoju za dolazak u školu te povratak kući.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Erasmus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 xml:space="preserve"> + Današnja praksa - sutrašnje stvaranje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1.595,00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eura, a realizirani su u iznosu od </w:t>
      </w:r>
      <w:r w:rsidR="00681301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1.594,65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 ili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99,98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iznosu go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dišnjeg plana. Cilj koji 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aktivnosti: usavršavanje nastavnika sudjelovanjem na stručnim seminarima.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 xml:space="preserve">Škola za život – </w:t>
      </w:r>
      <w:proofErr w:type="spellStart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kurikularna</w:t>
      </w:r>
      <w:proofErr w:type="spellEnd"/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 xml:space="preserve"> reforma-SŠ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4.645,00 eura dok je ostvareno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2.530,71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ili </w:t>
      </w:r>
      <w:r w:rsidR="00681301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54,48 %. Cilj koji 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aktivnosti: opremanje je školske ustanove ulaganjem u nefinancijsku imovinu.</w:t>
      </w:r>
      <w:r>
        <w:cr/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Kapitalna ulaganja i nabavka opreme-SŠ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, rashodi su planirani u iznosu od 11.520,00 eura, a ostvareno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11.520,00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ili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100,00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%. Cilj 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aktivnosti: ulaganje u nabavu nefinancijske im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ovine, odnosno u nabavu traktorske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kosilice, rashladnih uređaja te računalne opreme.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Zajedno do znanja uz više elana V-SŠ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 rashod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 su planirani u iznosu od 7.422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,00 eura, a ostvareni su u iznosu od </w:t>
      </w:r>
      <w:r w:rsidR="003025D6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7.419,20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 tj.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99,96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od godišnjeg plana. Cilj koji je ostvaren provedbom ove aktivnosti: Pomoć je učenicima prilikom usvajanja znanja od strane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pomoćnika u nastavi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 Škola je tijekom realizacije ove aktivnosti imala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zaposlena dva pomoćnika u nastavi.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Opskrba školskih ustanova besplatnim zalihama menstrualnih higijenskih potrepština-SŠ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, rash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odi su planirani u iznosu od 307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,00 eura, a ostvareni su u iznosu od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306,33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tj.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99,78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od godišnjeg plana. Cilj 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aktivnosti: Donacija u naravi sa svrhom naslova aktivnosti.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Zajedno do znanja uz više elana VI-SŠ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 rashodi su planirani u iznosu od </w:t>
      </w:r>
      <w:r w:rsidR="00A868F2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5.021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,00 eura, a ostvareni su u iznosu od </w:t>
      </w:r>
      <w:r w:rsidR="00A868F2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5.019,09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eura tj. </w:t>
      </w:r>
      <w:r w:rsidR="00A868F2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99,96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od godišnjeg plana. Cilj koji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je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ostvaren provedbom ove aktivnosti: Pomoć je učenicima prilikom usvajanja znanja te zapošljavanja 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dovoljnog broja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pomoćnika u nastavi. </w:t>
      </w:r>
    </w:p>
    <w:p w:rsidR="003025D6" w:rsidRDefault="003025D6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4E4375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Aktivnost </w:t>
      </w:r>
      <w:r>
        <w:rPr>
          <w:rFonts w:ascii="Times New Roman" w:eastAsia="Calibri" w:hAnsi="Times New Roman" w:cs="Times New Roman"/>
          <w:kern w:val="2"/>
          <w:sz w:val="24"/>
          <w:szCs w:val="24"/>
          <w:u w:val="single"/>
          <w:lang w:val="hr-HR"/>
          <w14:ligatures w14:val="standardContextual"/>
        </w:rPr>
        <w:t>Redovna djelatnost škole (evidencijski prihodi)-SŠ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planirani su rashodi u iznosu od 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</w:t>
      </w:r>
      <w:r w:rsidR="00A868F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392.677</w:t>
      </w:r>
      <w:r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,00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eura, a realizirani su u iznosu od </w:t>
      </w:r>
      <w:r w:rsidR="00A868F2">
        <w:rPr>
          <w:rFonts w:ascii="Times New Roman" w:eastAsia="Calibri" w:hAnsi="Times New Roman" w:cs="Times New Roman"/>
          <w:bCs/>
          <w:kern w:val="2"/>
          <w:sz w:val="24"/>
          <w:szCs w:val="24"/>
          <w14:ligatures w14:val="standardContextual"/>
        </w:rPr>
        <w:t>1.392.674,93</w:t>
      </w:r>
      <w:r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eura ili </w:t>
      </w:r>
      <w:r w:rsidR="00A868F2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100,00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% godišnjeg plana. Rashodi se odnose na rashode za zaposlene, doprinose na plaće i ostale materijalne rashode. Rashodi su financirani iz izvora pomoći tj. iz državnog proračuna. Cilj </w:t>
      </w:r>
      <w:r w:rsidR="00A868F2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koji je 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lastRenderedPageBreak/>
        <w:t>ostvaren provedbom ove aktivnosti: financiranje rashoda za zaposlene: plaće zaposlenika, isplate regresa, isplate j</w:t>
      </w:r>
      <w:r w:rsidR="00A868F2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ubilarnih nagrada i pomoći, darova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 xml:space="preserve"> djeci, božićnica.</w:t>
      </w: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u w:val="single"/>
          <w:lang w:val="hr-HR"/>
          <w14:ligatures w14:val="standardContextual"/>
        </w:rPr>
        <w:t>6. Posebni izvještaji o izvršenju financijskog plana</w:t>
      </w:r>
    </w:p>
    <w:p w:rsidR="0019128A" w:rsidRDefault="0019128A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ZADUŽIVANJU NA DOMAĆEM I STRANOM TRŽIŠTU NOVCA I KAPITALA ZA R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AZDOBLJE OD 01.01.2024. DO 31.12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.2024. GODINE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nije se zaduživala u izvještajnom razdoblju.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DANIM ZAJMOVIMA I POTRAŽIVANJIMA PO DANIM ZAJMOVIMA Z</w:t>
      </w:r>
      <w:r w:rsidR="003025D6"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A RAZDOBLJE OD 01.01.2024. DO 31.12</w:t>
      </w: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.2024. GODINE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nema danih zajmova ni potraživanja po danim zajmovima u izvještajnom razdoblju.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IZVJEŠTAJ O STANJU POTRAŽIVANJA I DOSPJELIH OBVEZA TE O STANJU POTENCIJALNIH OBVEZA PO OSNOVI SUDSKIH SPOROVA</w:t>
      </w:r>
    </w:p>
    <w:p w:rsidR="000D0EC2" w:rsidRDefault="00284767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  <w:t>Srednja strukovna škola kralja Zvonimira nije imala obveza po sudskim sporovima u izvještajnom razdoblju.</w:t>
      </w:r>
    </w:p>
    <w:p w:rsidR="003025D6" w:rsidRDefault="003025D6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B866AF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Dana, 24.3.2025</w:t>
      </w:r>
      <w:r w:rsidR="00284767"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.</w:t>
      </w:r>
    </w:p>
    <w:p w:rsidR="003025D6" w:rsidRDefault="003025D6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</w:p>
    <w:p w:rsidR="000D0EC2" w:rsidRDefault="000D0EC2">
      <w:pPr>
        <w:rPr>
          <w:rFonts w:ascii="Times New Roman" w:eastAsia="Calibri" w:hAnsi="Times New Roman" w:cs="Times New Roman"/>
          <w:kern w:val="2"/>
          <w:sz w:val="24"/>
          <w:szCs w:val="24"/>
          <w:lang w:val="hr-HR"/>
          <w14:ligatures w14:val="standardContextual"/>
        </w:rPr>
      </w:pP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Voditelj računovodstva                                                              Ravnatelj                                                                                                                            </w:t>
      </w:r>
    </w:p>
    <w:p w:rsidR="000D0EC2" w:rsidRDefault="00284767">
      <w:pP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      Josip Sarić,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mag.oec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 xml:space="preserve">.                                                         Milivoj Ilić,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dipl.ing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:lang w:val="hr-HR"/>
          <w14:ligatures w14:val="standardContextual"/>
        </w:rPr>
        <w:t>.</w:t>
      </w:r>
    </w:p>
    <w:p w:rsidR="000D0EC2" w:rsidRDefault="000D0E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375" w:rsidRDefault="004E43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Reetkatablice1"/>
        <w:tblpPr w:leftFromText="180" w:rightFromText="180" w:vertAnchor="page" w:horzAnchor="margin" w:tblpY="12853"/>
        <w:tblW w:w="828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3328"/>
      </w:tblGrid>
      <w:tr w:rsidR="004E4375" w:rsidRPr="004E4375" w:rsidTr="004E4375">
        <w:trPr>
          <w:trHeight w:val="492"/>
        </w:trPr>
        <w:tc>
          <w:tcPr>
            <w:tcW w:w="4958" w:type="dxa"/>
          </w:tcPr>
          <w:p w:rsidR="004E4375" w:rsidRPr="004E4375" w:rsidRDefault="004E4375" w:rsidP="004E4375">
            <w:pPr>
              <w:spacing w:after="160" w:line="256" w:lineRule="auto"/>
              <w:rPr>
                <w:rFonts w:ascii="Times New Roman" w:hAnsi="Times New Roman"/>
                <w:lang w:val="hr-HR"/>
              </w:rPr>
            </w:pPr>
            <w:r w:rsidRPr="004E4375">
              <w:rPr>
                <w:rFonts w:ascii="Times New Roman" w:hAnsi="Times New Roman"/>
                <w:lang w:val="hr-HR"/>
              </w:rPr>
              <w:t xml:space="preserve">Srednja strukovna škola kralja Zvonimira                                                                  </w:t>
            </w:r>
            <w:proofErr w:type="spellStart"/>
            <w:r w:rsidRPr="004E4375">
              <w:rPr>
                <w:rFonts w:ascii="Times New Roman" w:hAnsi="Times New Roman"/>
                <w:lang w:val="hr-HR"/>
              </w:rPr>
              <w:t>Ikičina</w:t>
            </w:r>
            <w:proofErr w:type="spellEnd"/>
            <w:r w:rsidRPr="004E4375">
              <w:rPr>
                <w:rFonts w:ascii="Times New Roman" w:hAnsi="Times New Roman"/>
                <w:lang w:val="hr-HR"/>
              </w:rPr>
              <w:t xml:space="preserve"> 30, 22300 Knin                                                                                                      KLASA:       </w:t>
            </w:r>
            <w:r w:rsidRPr="004E4375"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 w:rsidRPr="004E4375">
              <w:rPr>
                <w:rFonts w:ascii="Times New Roman" w:hAnsi="Times New Roman"/>
                <w:color w:val="000000"/>
                <w:sz w:val="24"/>
              </w:rPr>
              <w:instrText xml:space="preserve"> MERGEFIELD  CasesClassificationCode  \* MERGEFORMAT </w:instrText>
            </w:r>
            <w:r w:rsidRPr="004E4375"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 w:rsidRPr="004E4375">
              <w:rPr>
                <w:rFonts w:ascii="Times New Roman" w:hAnsi="Times New Roman"/>
                <w:noProof/>
                <w:color w:val="000000"/>
                <w:sz w:val="24"/>
              </w:rPr>
              <w:t>«CasesClassificationCode»</w:t>
            </w:r>
            <w:r w:rsidRPr="004E4375"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 w:rsidRPr="004E4375">
              <w:rPr>
                <w:rFonts w:ascii="Times New Roman" w:hAnsi="Times New Roman"/>
                <w:lang w:val="hr-HR"/>
              </w:rPr>
              <w:t xml:space="preserve">                                                                                                                                        URBROJ:     </w:t>
            </w:r>
            <w:r w:rsidRPr="004E4375">
              <w:rPr>
                <w:rFonts w:ascii="Times New Roman" w:hAnsi="Times New Roman"/>
                <w:lang w:val="hr-HR"/>
              </w:rPr>
              <w:fldChar w:fldCharType="begin"/>
            </w:r>
            <w:r w:rsidRPr="004E4375">
              <w:rPr>
                <w:rFonts w:ascii="Times New Roman" w:hAnsi="Times New Roman"/>
                <w:lang w:val="hr-HR"/>
              </w:rPr>
              <w:instrText xml:space="preserve"> MERGEFIELD  RegistrationNumber  \* MERGEFORMAT </w:instrText>
            </w:r>
            <w:r w:rsidRPr="004E4375">
              <w:rPr>
                <w:rFonts w:ascii="Times New Roman" w:hAnsi="Times New Roman"/>
                <w:lang w:val="hr-HR"/>
              </w:rPr>
              <w:fldChar w:fldCharType="separate"/>
            </w:r>
            <w:r w:rsidRPr="004E4375">
              <w:rPr>
                <w:rFonts w:ascii="Times New Roman" w:hAnsi="Times New Roman"/>
                <w:noProof/>
                <w:lang w:val="hr-HR"/>
              </w:rPr>
              <w:t>«RegistrationNumber»</w:t>
            </w:r>
            <w:r w:rsidRPr="004E4375">
              <w:rPr>
                <w:rFonts w:ascii="Times New Roman" w:hAnsi="Times New Roman"/>
                <w:lang w:val="hr-HR"/>
              </w:rPr>
              <w:fldChar w:fldCharType="end"/>
            </w:r>
            <w:r w:rsidRPr="004E4375">
              <w:rPr>
                <w:rFonts w:ascii="Times New Roman" w:hAnsi="Times New Roman"/>
                <w:lang w:val="hr-HR"/>
              </w:rPr>
              <w:t xml:space="preserve">                                                                                                          Knin, </w:t>
            </w:r>
            <w:r>
              <w:rPr>
                <w:rFonts w:ascii="Times New Roman" w:hAnsi="Times New Roman"/>
                <w:lang w:val="hr-HR"/>
              </w:rPr>
              <w:t>25</w:t>
            </w:r>
            <w:r w:rsidRPr="004E4375">
              <w:rPr>
                <w:rFonts w:ascii="Times New Roman" w:hAnsi="Times New Roman"/>
                <w:lang w:val="hr-HR"/>
              </w:rPr>
              <w:t>.</w:t>
            </w:r>
            <w:r>
              <w:rPr>
                <w:rFonts w:ascii="Times New Roman" w:hAnsi="Times New Roman"/>
                <w:lang w:val="hr-HR"/>
              </w:rPr>
              <w:t>03</w:t>
            </w:r>
            <w:r w:rsidRPr="004E4375">
              <w:rPr>
                <w:rFonts w:ascii="Times New Roman" w:hAnsi="Times New Roman"/>
                <w:lang w:val="hr-HR"/>
              </w:rPr>
              <w:t>.202</w:t>
            </w:r>
            <w:r>
              <w:rPr>
                <w:rFonts w:ascii="Times New Roman" w:hAnsi="Times New Roman"/>
                <w:lang w:val="hr-HR"/>
              </w:rPr>
              <w:t>5</w:t>
            </w:r>
            <w:bookmarkStart w:id="0" w:name="_GoBack"/>
            <w:bookmarkEnd w:id="0"/>
            <w:r w:rsidRPr="004E4375">
              <w:rPr>
                <w:rFonts w:ascii="Times New Roman" w:hAnsi="Times New Roman"/>
                <w:lang w:val="hr-HR"/>
              </w:rPr>
              <w:t xml:space="preserve">.   </w:t>
            </w:r>
          </w:p>
          <w:p w:rsidR="004E4375" w:rsidRPr="004E4375" w:rsidRDefault="004E4375" w:rsidP="004E4375">
            <w:pPr>
              <w:spacing w:after="160" w:line="256" w:lineRule="auto"/>
              <w:rPr>
                <w:rFonts w:ascii="Times New Roman" w:hAnsi="Times New Roman"/>
                <w:lang w:val="hr-HR"/>
              </w:rPr>
            </w:pPr>
          </w:p>
          <w:p w:rsidR="004E4375" w:rsidRPr="004E4375" w:rsidRDefault="004E4375" w:rsidP="004E4375">
            <w:pPr>
              <w:spacing w:after="160" w:line="256" w:lineRule="auto"/>
              <w:rPr>
                <w:rFonts w:ascii="Times New Roman" w:hAnsi="Times New Roman"/>
                <w:lang w:val="hr-HR"/>
              </w:rPr>
            </w:pPr>
          </w:p>
        </w:tc>
        <w:tc>
          <w:tcPr>
            <w:tcW w:w="3328" w:type="dxa"/>
            <w:hideMark/>
          </w:tcPr>
          <w:p w:rsidR="004E4375" w:rsidRPr="004E4375" w:rsidRDefault="004E4375" w:rsidP="004E4375">
            <w:pPr>
              <w:spacing w:after="160" w:line="256" w:lineRule="auto"/>
              <w:rPr>
                <w:rFonts w:ascii="Times New Roman" w:hAnsi="Times New Roman"/>
                <w:lang w:val="hr-HR"/>
              </w:rPr>
            </w:pPr>
            <w:r w:rsidRPr="004E4375"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 w:rsidRPr="004E4375">
              <w:rPr>
                <w:rFonts w:ascii="Times New Roman" w:hAnsi="Times New Roman"/>
                <w:color w:val="000000"/>
                <w:sz w:val="24"/>
              </w:rPr>
              <w:instrText xml:space="preserve"> MERGEFIELD  Image:QRcode  \* MERGEFORMAT </w:instrText>
            </w:r>
            <w:r w:rsidRPr="004E4375"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 w:rsidRPr="004E4375">
              <w:rPr>
                <w:rFonts w:ascii="Times New Roman" w:hAnsi="Times New Roman"/>
                <w:noProof/>
                <w:color w:val="000000"/>
                <w:sz w:val="24"/>
              </w:rPr>
              <w:t>«Image:QRcode»</w:t>
            </w:r>
            <w:r w:rsidRPr="004E4375"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</w:p>
        </w:tc>
      </w:tr>
    </w:tbl>
    <w:p w:rsidR="004E4375" w:rsidRDefault="004E43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375" w:rsidRDefault="004E43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375" w:rsidRDefault="004E43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375" w:rsidRDefault="004E437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4E4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0A0" w:rsidRDefault="00A850A0">
      <w:pPr>
        <w:spacing w:after="0" w:line="240" w:lineRule="auto"/>
      </w:pPr>
      <w:r>
        <w:separator/>
      </w:r>
    </w:p>
  </w:endnote>
  <w:endnote w:type="continuationSeparator" w:id="0">
    <w:p w:rsidR="00A850A0" w:rsidRDefault="00A85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0A0" w:rsidRDefault="00A850A0">
      <w:pPr>
        <w:spacing w:after="0" w:line="240" w:lineRule="auto"/>
      </w:pPr>
      <w:r>
        <w:separator/>
      </w:r>
    </w:p>
  </w:footnote>
  <w:footnote w:type="continuationSeparator" w:id="0">
    <w:p w:rsidR="00A850A0" w:rsidRDefault="00A85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5D6" w:rsidRDefault="003025D6">
    <w:pPr>
      <w:rPr>
        <w:rStyle w:val="FakeCharacter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EEC"/>
    <w:multiLevelType w:val="multilevel"/>
    <w:tmpl w:val="C4044F1C"/>
    <w:lvl w:ilvl="0">
      <w:start w:val="1"/>
      <w:numFmt w:val="decimal"/>
      <w:lvlText w:val="%1."/>
      <w:lvlJc w:val="left"/>
      <w:pPr>
        <w:ind w:left="4745" w:hanging="24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1695" w:hanging="42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2">
      <w:start w:val="1"/>
      <w:numFmt w:val="upperLetter"/>
      <w:lvlText w:val="%3)"/>
      <w:lvlJc w:val="left"/>
      <w:pPr>
        <w:ind w:left="3290" w:hanging="26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2"/>
        <w:sz w:val="19"/>
        <w:szCs w:val="19"/>
        <w:lang w:eastAsia="en-US" w:bidi="ar-SA"/>
      </w:rPr>
    </w:lvl>
    <w:lvl w:ilvl="3">
      <w:numFmt w:val="bullet"/>
      <w:lvlText w:val="•"/>
      <w:lvlJc w:val="left"/>
      <w:pPr>
        <w:ind w:left="5425" w:hanging="2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110" w:hanging="2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6795" w:hanging="2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7480" w:hanging="2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8165" w:hanging="2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850" w:hanging="2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C2"/>
    <w:rsid w:val="000D0EC2"/>
    <w:rsid w:val="0019128A"/>
    <w:rsid w:val="00284767"/>
    <w:rsid w:val="003025D6"/>
    <w:rsid w:val="0031640D"/>
    <w:rsid w:val="003745D8"/>
    <w:rsid w:val="004E4375"/>
    <w:rsid w:val="00583B6F"/>
    <w:rsid w:val="00674D2A"/>
    <w:rsid w:val="00681301"/>
    <w:rsid w:val="00700E08"/>
    <w:rsid w:val="00754893"/>
    <w:rsid w:val="007B490B"/>
    <w:rsid w:val="009D7F3C"/>
    <w:rsid w:val="00A850A0"/>
    <w:rsid w:val="00A868F2"/>
    <w:rsid w:val="00B866AF"/>
    <w:rsid w:val="00BC75C3"/>
    <w:rsid w:val="00D97F02"/>
    <w:rsid w:val="00E95407"/>
    <w:rsid w:val="00ED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6F62"/>
  <w15:docId w15:val="{AF886484-9C77-408C-925B-1650E9432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8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84767"/>
    <w:rPr>
      <w:rFonts w:ascii="Segoe UI" w:hAnsi="Segoe UI" w:cs="Segoe UI"/>
      <w:sz w:val="18"/>
      <w:szCs w:val="18"/>
    </w:rPr>
  </w:style>
  <w:style w:type="character" w:customStyle="1" w:styleId="FakeCharacterStyle">
    <w:name w:val="FakeCharacterStyle"/>
    <w:hidden/>
    <w:rsid w:val="00754893"/>
    <w:rPr>
      <w:sz w:val="1"/>
      <w:szCs w:val="1"/>
    </w:rPr>
  </w:style>
  <w:style w:type="paragraph" w:customStyle="1" w:styleId="ParagraphStyle0">
    <w:name w:val="ParagraphStyle0"/>
    <w:hidden/>
    <w:rsid w:val="0019128A"/>
    <w:pPr>
      <w:spacing w:before="28" w:after="28" w:line="240" w:lineRule="auto"/>
      <w:ind w:left="850" w:right="850"/>
      <w:jc w:val="center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0">
    <w:name w:val="CharacterStyle0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9"/>
      <w:szCs w:val="19"/>
      <w:u w:val="none"/>
    </w:rPr>
  </w:style>
  <w:style w:type="paragraph" w:customStyle="1" w:styleId="ParagraphStyle1">
    <w:name w:val="ParagraphStyle1"/>
    <w:hidden/>
    <w:rsid w:val="0019128A"/>
    <w:pPr>
      <w:spacing w:before="28" w:after="28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2">
    <w:name w:val="ParagraphStyle2"/>
    <w:hidden/>
    <w:rsid w:val="0019128A"/>
    <w:pPr>
      <w:spacing w:before="28" w:after="28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3">
    <w:name w:val="ParagraphStyle3"/>
    <w:hidden/>
    <w:rsid w:val="0019128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4">
    <w:name w:val="ParagraphStyle4"/>
    <w:hidden/>
    <w:rsid w:val="0019128A"/>
    <w:pPr>
      <w:spacing w:after="0" w:line="240" w:lineRule="auto"/>
      <w:ind w:left="28" w:right="28"/>
      <w:jc w:val="center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5">
    <w:name w:val="ParagraphStyle5"/>
    <w:hidden/>
    <w:rsid w:val="0019128A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6">
    <w:name w:val="ParagraphStyle6"/>
    <w:hidden/>
    <w:rsid w:val="0019128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7">
    <w:name w:val="ParagraphStyle7"/>
    <w:hidden/>
    <w:rsid w:val="0019128A"/>
    <w:pPr>
      <w:spacing w:before="28" w:after="28" w:line="240" w:lineRule="auto"/>
      <w:ind w:left="28" w:right="28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8">
    <w:name w:val="ParagraphStyle8"/>
    <w:hidden/>
    <w:rsid w:val="0019128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paragraph" w:customStyle="1" w:styleId="ParagraphStyle9">
    <w:name w:val="ParagraphStyle9"/>
    <w:hidden/>
    <w:rsid w:val="0019128A"/>
    <w:pPr>
      <w:spacing w:after="0" w:line="240" w:lineRule="auto"/>
      <w:ind w:left="28" w:right="28"/>
      <w:jc w:val="right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1">
    <w:name w:val="CharacterStyle1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2">
    <w:name w:val="CharacterStyle2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3">
    <w:name w:val="CharacterStyle3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5">
    <w:name w:val="CharacterStyle5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6">
    <w:name w:val="CharacterStyle6"/>
    <w:hidden/>
    <w:rsid w:val="0019128A"/>
    <w:rPr>
      <w:rFonts w:ascii="Arial" w:eastAsia="Arial" w:hAnsi="Arial" w:cs="Arial"/>
      <w:b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sid w:val="0019128A"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sid w:val="0019128A"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sid w:val="0019128A"/>
    <w:rPr>
      <w:rFonts w:ascii="Arial" w:eastAsia="Arial" w:hAnsi="Arial" w:cs="Arial"/>
      <w:b w:val="0"/>
      <w:i/>
      <w:strike w:val="0"/>
      <w:noProof/>
      <w:color w:val="000000"/>
      <w:sz w:val="16"/>
      <w:szCs w:val="16"/>
      <w:u w:val="none"/>
    </w:rPr>
  </w:style>
  <w:style w:type="character" w:styleId="Brojretka">
    <w:name w:val="line number"/>
    <w:basedOn w:val="Zadanifontodlomka"/>
    <w:semiHidden/>
    <w:rsid w:val="0019128A"/>
  </w:style>
  <w:style w:type="character" w:styleId="Hiperveza">
    <w:name w:val="Hyperlink"/>
    <w:rsid w:val="0019128A"/>
    <w:rPr>
      <w:color w:val="0000FF"/>
      <w:u w:val="single"/>
    </w:rPr>
  </w:style>
  <w:style w:type="table" w:styleId="Jednostavnatablica1">
    <w:name w:val="Table Simple 1"/>
    <w:basedOn w:val="Obinatablica"/>
    <w:rsid w:val="0019128A"/>
    <w:pPr>
      <w:spacing w:after="0" w:line="240" w:lineRule="auto"/>
    </w:pPr>
    <w:rPr>
      <w:rFonts w:ascii="Calibri" w:eastAsia="Calibri" w:hAnsi="Calibri" w:cs="Calibri"/>
      <w:szCs w:val="20"/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4E4375"/>
    <w:pPr>
      <w:spacing w:after="0" w:line="240" w:lineRule="auto"/>
    </w:pPr>
    <w:rPr>
      <w:rFonts w:ascii="Calibri" w:eastAsia="Calibri" w:hAnsi="Calibri" w:cs="Times New Roman"/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hyperlink" Target="mailto:ured@ss-strukovna-kralja-zvonimira-kn.skole.hr" TargetMode="External"/><Relationship Id="rId19" Type="http://schemas.openxmlformats.org/officeDocument/2006/relationships/header" Target="head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3A4AC3960BE4CBFF46E8D282078ED" ma:contentTypeVersion="13" ma:contentTypeDescription="Create a new document." ma:contentTypeScope="" ma:versionID="6929aff413d9a48dbd36f78136d140f7">
  <xsd:schema xmlns:xsd="http://www.w3.org/2001/XMLSchema" xmlns:xs="http://www.w3.org/2001/XMLSchema" xmlns:p="http://schemas.microsoft.com/office/2006/metadata/properties" xmlns:ns3="2d06e878-dedb-4e17-a2f5-7402d478cb3a" targetNamespace="http://schemas.microsoft.com/office/2006/metadata/properties" ma:root="true" ma:fieldsID="19f0b5f67954e597053bde387a52244e" ns3:_="">
    <xsd:import namespace="2d06e878-dedb-4e17-a2f5-7402d478cb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6e878-dedb-4e17-a2f5-7402d478c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d06e878-dedb-4e17-a2f5-7402d478cb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84836-D5C9-41E5-9C61-90277D70E0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6e878-dedb-4e17-a2f5-7402d478c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8FEC1C-8565-484B-96A0-979F2BF2C1A1}">
  <ds:schemaRefs>
    <ds:schemaRef ds:uri="http://schemas.microsoft.com/office/2006/metadata/properties"/>
    <ds:schemaRef ds:uri="http://schemas.microsoft.com/office/infopath/2007/PartnerControls"/>
    <ds:schemaRef ds:uri="2d06e878-dedb-4e17-a2f5-7402d478cb3a"/>
  </ds:schemaRefs>
</ds:datastoreItem>
</file>

<file path=customXml/itemProps3.xml><?xml version="1.0" encoding="utf-8"?>
<ds:datastoreItem xmlns:ds="http://schemas.openxmlformats.org/officeDocument/2006/customXml" ds:itemID="{515AE090-BD3E-4892-A926-C53CC0936E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4157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Sarić</dc:creator>
  <cp:keywords/>
  <dc:description/>
  <cp:lastModifiedBy>Kata Duilo</cp:lastModifiedBy>
  <cp:revision>3</cp:revision>
  <cp:lastPrinted>2024-07-18T08:57:00Z</cp:lastPrinted>
  <dcterms:created xsi:type="dcterms:W3CDTF">2025-03-25T10:00:00Z</dcterms:created>
  <dcterms:modified xsi:type="dcterms:W3CDTF">2025-03-25T10:21:00Z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0x0101008FE3A4AC3960BE4CBFF46E8D282078ED</vt:lpwstr>
  </property>
</Properties>
</file>