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page" w:horzAnchor="margin" w:tblpY="163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69"/>
        <w:gridCol w:w="2693"/>
      </w:tblGrid>
      <w:tr>
        <w:trPr/>
        <w:tc>
          <w:tcPr>
            <w:tcW w:type="dxa" w:w="5669"/>
            <w:tcBorders/>
          </w:tcPr>
          <w:p>
            <w:pPr>
              <w:spacing w:after="160" w:line="259" w:lineRule="auto"/>
              <w:rPr>
                <w:rFonts w:eastAsiaTheme="minorHAnsi"/>
                <w:sz w:val="22"/>
              </w:rPr>
            </w:pPr>
            <w:bookmarkStart w:id="2" w:name="_Hlk128748807"/>
            <w:bookmarkStart w:id="3" w:name="_Hlk167262119"/>
            <w:bookmarkStart w:id="4" w:name="_Hlk188439169"/>
            <w:r>
              <w:rPr>
                <w:rFonts w:eastAsiaTheme="minorHAnsi"/>
                <w:sz w:val="22"/>
              </w:rPr>
              <w:t xml:space="preserve">Srednja</w:t>
            </w:r>
            <w:r>
              <w:rPr>
                <w:rFonts w:eastAsiaTheme="minorHAnsi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 xml:space="preserve">strukovna</w:t>
            </w:r>
            <w:r>
              <w:rPr>
                <w:rFonts w:eastAsiaTheme="minorHAnsi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 xml:space="preserve">škola</w:t>
            </w:r>
            <w:r>
              <w:rPr>
                <w:rFonts w:eastAsiaTheme="minorHAnsi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 xml:space="preserve">kralja</w:t>
            </w:r>
            <w:r>
              <w:rPr>
                <w:rFonts w:eastAsiaTheme="minorHAnsi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 xml:space="preserve">Zvonimira</w:t>
            </w:r>
            <w:r>
              <w:rPr>
                <w:rFonts w:eastAsiaTheme="minorHAnsi"/>
                <w:sz w:val="22"/>
              </w:rPr>
              <w:t xml:space="preserve">                                                                            </w:t>
            </w:r>
            <w:r>
              <w:rPr>
                <w:rFonts w:eastAsiaTheme="minorHAnsi"/>
                <w:sz w:val="22"/>
              </w:rPr>
              <w:t xml:space="preserve">                          </w:t>
            </w:r>
            <w:r>
              <w:rPr>
                <w:rFonts w:eastAsiaTheme="minorHAnsi"/>
                <w:sz w:val="22"/>
              </w:rPr>
              <w:t xml:space="preserve">Ikičina</w:t>
            </w:r>
            <w:r>
              <w:rPr>
                <w:rFonts w:eastAsiaTheme="minorHAnsi"/>
                <w:sz w:val="22"/>
              </w:rPr>
              <w:t xml:space="preserve"> 30, 22300 Knin</w:t>
            </w:r>
            <w:r>
              <w:rPr>
                <w:rFonts w:eastAsiaTheme="minorHAnsi"/>
                <w:sz w:val="22"/>
              </w:rPr>
              <w:t xml:space="preserve">                                                                                                      KLASA:       </w:t>
            </w:r>
            <w:r>
              <w:rPr>
                <w:noProof/>
                <w:lang w:val="en-US"/>
              </w:rPr>
              <w:t xml:space="preserve">401-05/25-01/2</w:t>
            </w:r>
            <w:r>
              <w:rPr>
                <w:rFonts w:eastAsiaTheme="minorHAnsi"/>
                <w:sz w:val="22"/>
              </w:rPr>
              <w:t xml:space="preserve">                                                                                                                                        URBROJ:     </w:t>
            </w:r>
            <w:r>
              <w:rPr>
                <w:rFonts w:eastAsiaTheme="minorHAnsi"/>
                <w:noProof/>
                <w:sz w:val="22"/>
              </w:rPr>
              <w:t xml:space="preserve">2182-50-25-1</w:t>
            </w:r>
            <w:r>
              <w:rPr>
                <w:rFonts w:eastAsiaTheme="minorHAnsi"/>
                <w:sz w:val="22"/>
              </w:rPr>
              <w:t xml:space="preserve">                                                                                                          </w:t>
            </w:r>
            <w:r>
              <w:rPr>
                <w:rFonts w:eastAsiaTheme="minorHAnsi"/>
                <w:sz w:val="22"/>
              </w:rPr>
              <w:t xml:space="preserve">Knin,29.01.2025. </w:t>
            </w:r>
            <w:r>
              <w:rPr>
                <w:rFonts w:eastAsiaTheme="minorHAnsi"/>
                <w:sz w:val="22"/>
              </w:rPr>
              <w:t xml:space="preserve"> 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eastAsiaTheme="minorHAnsi"/>
                <w:sz w:val="22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 w14:paraId="541CCED1">
      <w:pPr>
        <w:spacing w:after="160" w:line="259" w:lineRule="auto"/>
        <w:rPr>
          <w:rFonts w:eastAsiaTheme="minorHAnsi"/>
          <w:sz w:val="22"/>
        </w:rPr>
      </w:pPr>
      <w:r>
        <w:rPr>
          <w:rFonts w:eastAsiaTheme="minorHAnsi"/>
          <w:b/>
          <w:sz w:val="22"/>
        </w:rPr>
        <w:t xml:space="preserve">                                                                                 </w:t>
      </w:r>
      <w:r>
        <w:rPr>
          <w:rFonts w:eastAsiaTheme="minorHAnsi"/>
          <w:b/>
          <w:sz w:val="22"/>
        </w:rPr>
        <w:t xml:space="preserve">                               </w:t>
      </w:r>
      <w:r>
        <w:rPr>
          <w:rFonts w:eastAsiaTheme="minorHAnsi"/>
          <w:sz w:val="22"/>
        </w:rPr>
        <w:t xml:space="preserve">                                                                                                                                     </w:t>
      </w:r>
      <w:r>
        <w:rPr>
          <w:rFonts w:eastAsiaTheme="minorHAnsi"/>
          <w:sz w:val="22"/>
        </w:rPr>
        <w:t xml:space="preserve">                  </w:t>
      </w:r>
      <w:r>
        <w:rPr>
          <w:rFonts w:eastAsiaTheme="minorHAnsi"/>
          <w:sz w:val="22"/>
        </w:rPr>
        <w:t xml:space="preserve">                                                                                                                                                     </w:t>
      </w:r>
    </w:p>
    <w:bookmarkEnd w:id="3"/>
    <w:p w14:paraId="703706EF">
      <w:pPr>
        <w:spacing/>
        <w:rPr/>
      </w:pPr>
    </w:p>
    <w:bookmarkEnd w:id="4"/>
    <w:p w14:paraId="0D888E54">
      <w:pPr>
        <w:spacing/>
        <w:rPr/>
      </w:pPr>
    </w:p>
    <w:tbl>
      <w:tblPr>
        <w:tblpPr w:leftFromText="180" w:rightFromText="180" w:vertAnchor="page" w:horzAnchor="margin" w:tblpY="163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669"/>
        <w:gridCol w:w="2693"/>
      </w:tblGrid>
      <w:tr>
        <w:trPr/>
        <w:tc>
          <w:tcPr>
            <w:tcW w:type="dxa" w:w="5669"/>
            <w:tcBorders/>
            <w:shd w:fill="auto" w:color="auto" w:val="clear"/>
          </w:tcPr>
          <w:p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type="dxa" w:w="2693"/>
            <w:tcBorders/>
            <w:shd w:fill="auto" w:color="auto" w:val="clear"/>
          </w:tcPr>
          <w:p>
            <w:pPr>
              <w:spacing w:after="160" w:line="259" w:lineRule="auto"/>
              <w:jc w:val="right"/>
              <w:rPr>
                <w:rFonts w:eastAsia="Calibri"/>
                <w:sz w:val="22"/>
                <w:szCs w:val="22"/>
              </w:rPr>
            </w:pPr>
          </w:p>
        </w:tc>
      </w:tr>
    </w:tbl>
    <w:p w14:paraId="249ED4AE">
      <w:pPr>
        <w:spacing/>
        <w:rPr>
          <w:sz w:val="22"/>
          <w:lang w:val="hr-HR"/>
        </w:rPr>
      </w:pPr>
    </w:p>
    <w:p w14:paraId="7C51E38F">
      <w:pPr>
        <w:spacing/>
        <w:rPr>
          <w:sz w:val="22"/>
          <w:lang w:val="hr-HR"/>
        </w:rPr>
      </w:pPr>
    </w:p>
    <w:p w14:paraId="6C93E8AC">
      <w:pPr>
        <w:spacing/>
        <w:rPr>
          <w:sz w:val="22"/>
          <w:lang w:val="hr-HR"/>
        </w:rPr>
      </w:pPr>
    </w:p>
    <w:p w14:paraId="0151F4EA">
      <w:pPr>
        <w:spacing/>
        <w:rPr>
          <w:sz w:val="22"/>
          <w:lang w:val="hr-HR"/>
        </w:rPr>
      </w:pPr>
    </w:p>
    <w:p w14:paraId="402D742C">
      <w:pPr>
        <w:spacing/>
        <w:rPr>
          <w:sz w:val="22"/>
          <w:lang w:val="hr-HR"/>
        </w:rPr>
      </w:pPr>
    </w:p>
    <w:p w14:paraId="2ACE9A8C">
      <w:pPr>
        <w:spacing/>
        <w:rPr>
          <w:sz w:val="22"/>
          <w:lang w:val="hr-HR"/>
        </w:rPr>
      </w:pPr>
    </w:p>
    <w:p w14:paraId="530BB4A4">
      <w:pPr>
        <w:spacing/>
        <w:rPr>
          <w:sz w:val="22"/>
          <w:lang w:val="hr-HR"/>
        </w:rPr>
      </w:pPr>
    </w:p>
    <w:p w14:paraId="031DD1DF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Oib</w:t>
      </w:r>
      <w:r>
        <w:rPr>
          <w:sz w:val="22"/>
          <w:lang w:val="hr-HR"/>
        </w:rPr>
        <w:t xml:space="preserve"> – 60727152857</w:t>
      </w:r>
    </w:p>
    <w:p w14:paraId="2A0906C5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Iban</w:t>
      </w:r>
      <w:r>
        <w:rPr>
          <w:sz w:val="22"/>
          <w:lang w:val="hr-HR"/>
        </w:rPr>
        <w:t xml:space="preserve"> - HR102390001500209354</w:t>
      </w:r>
    </w:p>
    <w:p w14:paraId="3755743C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Rkp</w:t>
      </w:r>
      <w:r>
        <w:rPr>
          <w:sz w:val="22"/>
          <w:lang w:val="hr-HR"/>
        </w:rPr>
        <w:t xml:space="preserve"> - 43095</w:t>
      </w:r>
    </w:p>
    <w:p w14:paraId="6458E2E8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Šifra djelatnosti – 8532</w:t>
      </w:r>
    </w:p>
    <w:p w14:paraId="4105D891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Šifra županije - 15</w:t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ab/>
        <w:t xml:space="preserve"/>
      </w:r>
      <w:r>
        <w:rPr>
          <w:sz w:val="22"/>
          <w:lang w:val="hr-HR"/>
        </w:rPr>
        <w:t xml:space="preserve">                                                                                       </w:t>
      </w:r>
    </w:p>
    <w:p w14:paraId="1851F6F0">
      <w:pPr>
        <w:spacing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 </w:t>
      </w:r>
    </w:p>
    <w:p w14:paraId="1B7B1AE0">
      <w:pPr>
        <w:spacing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                                                                                                                   </w:t>
      </w:r>
    </w:p>
    <w:p w14:paraId="5CC2B401">
      <w:pPr>
        <w:spacing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ab/>
        <w:t xml:space="preserve"/>
      </w:r>
      <w:r>
        <w:rPr>
          <w:sz w:val="20"/>
          <w:szCs w:val="20"/>
          <w:lang w:val="hr-HR"/>
        </w:rPr>
        <w:tab/>
        <w:t xml:space="preserve"/>
      </w:r>
      <w:r>
        <w:rPr>
          <w:sz w:val="20"/>
          <w:szCs w:val="20"/>
          <w:lang w:val="hr-HR"/>
        </w:rPr>
        <w:tab/>
        <w:t xml:space="preserve"/>
      </w:r>
      <w:r>
        <w:rPr>
          <w:sz w:val="20"/>
          <w:szCs w:val="20"/>
          <w:lang w:val="hr-HR"/>
        </w:rPr>
        <w:tab/>
        <w:t xml:space="preserve"/>
      </w:r>
      <w:r>
        <w:rPr>
          <w:sz w:val="20"/>
          <w:szCs w:val="20"/>
          <w:lang w:val="hr-HR"/>
        </w:rPr>
        <w:tab/>
        <w:t xml:space="preserve"/>
      </w:r>
      <w:r>
        <w:rPr>
          <w:sz w:val="20"/>
          <w:szCs w:val="20"/>
          <w:lang w:val="hr-HR"/>
        </w:rPr>
        <w:tab/>
        <w:t xml:space="preserve"/>
      </w:r>
      <w:r>
        <w:rPr>
          <w:sz w:val="20"/>
          <w:szCs w:val="20"/>
          <w:lang w:val="hr-HR"/>
        </w:rPr>
        <w:tab/>
        <w:t xml:space="preserve"/>
      </w:r>
    </w:p>
    <w:p w14:paraId="34805FC8">
      <w:pPr>
        <w:spacing/>
        <w:rPr>
          <w:sz w:val="22"/>
          <w:lang w:val="hr-HR"/>
        </w:rPr>
      </w:pPr>
    </w:p>
    <w:p w14:paraId="3BE75831">
      <w:pPr>
        <w:spacing/>
        <w:rPr>
          <w:sz w:val="22"/>
          <w:lang w:val="hr-HR"/>
        </w:rPr>
      </w:pPr>
    </w:p>
    <w:p w14:paraId="352F3627">
      <w:pPr>
        <w:spacing/>
        <w:rPr>
          <w:sz w:val="22"/>
          <w:lang w:val="hr-HR"/>
        </w:rPr>
      </w:pPr>
    </w:p>
    <w:p w14:paraId="6F3D54A6">
      <w:pPr>
        <w:spacing/>
        <w:jc w:val="center"/>
        <w:rPr>
          <w:b/>
          <w:sz w:val="22"/>
          <w:lang w:val="hr-HR"/>
        </w:rPr>
      </w:pPr>
      <w:r>
        <w:rPr>
          <w:b/>
          <w:sz w:val="22"/>
          <w:lang w:val="hr-HR"/>
        </w:rPr>
        <w:t xml:space="preserve">PREDMET: BILJEŠKE UZ FINANCIJSKE IZVJEŠTAJE ZA RAZDOBLJE O</w:t>
      </w:r>
      <w:r>
        <w:rPr>
          <w:b/>
          <w:sz w:val="22"/>
          <w:lang w:val="hr-HR"/>
        </w:rPr>
        <w:t xml:space="preserve">D 1.</w:t>
      </w:r>
      <w:r>
        <w:rPr>
          <w:b/>
          <w:sz w:val="22"/>
          <w:lang w:val="hr-HR"/>
        </w:rPr>
        <w:t xml:space="preserve"> </w:t>
      </w:r>
      <w:r>
        <w:rPr>
          <w:b/>
          <w:sz w:val="22"/>
          <w:lang w:val="hr-HR"/>
        </w:rPr>
        <w:t xml:space="preserve">SIJEČNJA DO 31.</w:t>
      </w:r>
      <w:r>
        <w:rPr>
          <w:b/>
          <w:sz w:val="22"/>
          <w:lang w:val="hr-HR"/>
        </w:rPr>
        <w:t xml:space="preserve"> </w:t>
      </w:r>
      <w:r>
        <w:rPr>
          <w:b/>
          <w:sz w:val="22"/>
          <w:lang w:val="hr-HR"/>
        </w:rPr>
        <w:t xml:space="preserve">PROSINCA 2024</w:t>
      </w:r>
      <w:r>
        <w:rPr>
          <w:b/>
          <w:sz w:val="22"/>
          <w:lang w:val="hr-HR"/>
        </w:rPr>
        <w:t xml:space="preserve">. GODINE</w:t>
      </w:r>
    </w:p>
    <w:p w14:paraId="1EE56662">
      <w:pPr>
        <w:spacing/>
        <w:rPr>
          <w:sz w:val="22"/>
          <w:lang w:val="hr-HR"/>
        </w:rPr>
      </w:pPr>
    </w:p>
    <w:p w14:paraId="61957DAA">
      <w:pPr>
        <w:spacing/>
        <w:rPr>
          <w:sz w:val="22"/>
          <w:lang w:val="hr-HR"/>
        </w:rPr>
      </w:pPr>
    </w:p>
    <w:p w14:paraId="3F02C836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Srednja strukovna škola kralja Zvonimira os</w:t>
      </w:r>
      <w:r>
        <w:rPr>
          <w:sz w:val="22"/>
          <w:lang w:val="hr-HR"/>
        </w:rPr>
        <w:t xml:space="preserve">tvarila je ukupne prihode u 2024</w:t>
      </w:r>
      <w:r>
        <w:rPr>
          <w:sz w:val="22"/>
          <w:lang w:val="hr-HR"/>
        </w:rPr>
        <w:t xml:space="preserve">. godini u iznosu od 1.</w:t>
      </w:r>
      <w:r>
        <w:rPr>
          <w:sz w:val="22"/>
          <w:lang w:val="hr-HR"/>
        </w:rPr>
        <w:t xml:space="preserve">596.736,36</w:t>
      </w:r>
      <w:r>
        <w:rPr>
          <w:sz w:val="22"/>
          <w:lang w:val="hr-HR"/>
        </w:rPr>
        <w:t xml:space="preserve">, te ukupne rashode u iznosu od 1.</w:t>
      </w:r>
      <w:r>
        <w:rPr>
          <w:sz w:val="22"/>
          <w:lang w:val="hr-HR"/>
        </w:rPr>
        <w:t xml:space="preserve">604.333,35</w:t>
      </w:r>
      <w:r>
        <w:rPr>
          <w:sz w:val="22"/>
          <w:lang w:val="hr-HR"/>
        </w:rPr>
        <w:t xml:space="preserve"> eura.</w:t>
      </w:r>
    </w:p>
    <w:p w14:paraId="68C79735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Prihodi su ostvareni najvećim dijelom iz državnog proračuna – državne rizn</w:t>
      </w:r>
      <w:r>
        <w:rPr>
          <w:sz w:val="22"/>
          <w:lang w:val="hr-HR"/>
        </w:rPr>
        <w:t xml:space="preserve">ice, županije šibensko-kninske, </w:t>
      </w:r>
      <w:r>
        <w:rPr>
          <w:sz w:val="22"/>
          <w:lang w:val="hr-HR"/>
        </w:rPr>
        <w:t xml:space="preserve">vlastitih prihoda i prihoda posebne namjene, te pomoći grada Knina</w:t>
      </w:r>
      <w:r>
        <w:rPr>
          <w:sz w:val="22"/>
          <w:lang w:val="hr-HR"/>
        </w:rPr>
        <w:t xml:space="preserve"> i općine Kistanje</w:t>
      </w:r>
      <w:r>
        <w:rPr>
          <w:sz w:val="22"/>
          <w:lang w:val="hr-HR"/>
        </w:rPr>
        <w:t xml:space="preserve">.</w:t>
      </w:r>
    </w:p>
    <w:p w14:paraId="4C00B30E">
      <w:pPr>
        <w:spacing/>
        <w:rPr>
          <w:sz w:val="22"/>
          <w:lang w:val="hr-HR"/>
        </w:rPr>
      </w:pPr>
    </w:p>
    <w:p w14:paraId="51E20204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Ministarstvo znanosti i obrazovanja – 1.</w:t>
      </w:r>
      <w:r>
        <w:rPr>
          <w:sz w:val="22"/>
          <w:lang w:val="hr-HR"/>
        </w:rPr>
        <w:t xml:space="preserve">392.674,93</w:t>
      </w:r>
      <w:r>
        <w:rPr>
          <w:sz w:val="22"/>
          <w:lang w:val="hr-HR"/>
        </w:rPr>
        <w:t xml:space="preserve"> eura</w:t>
      </w:r>
    </w:p>
    <w:p w14:paraId="66743CCD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Šibensko-kninska županija,</w:t>
      </w:r>
      <w:r>
        <w:rPr>
          <w:sz w:val="22"/>
          <w:lang w:val="hr-HR"/>
        </w:rPr>
        <w:t xml:space="preserve"> decentralizirana sredstva – 155.812,32</w:t>
      </w:r>
      <w:r>
        <w:rPr>
          <w:sz w:val="22"/>
          <w:lang w:val="hr-HR"/>
        </w:rPr>
        <w:t xml:space="preserve"> eura</w:t>
      </w:r>
    </w:p>
    <w:p w14:paraId="144D6D27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Šibensko-kninska </w:t>
      </w:r>
      <w:r>
        <w:rPr>
          <w:sz w:val="22"/>
          <w:lang w:val="hr-HR"/>
        </w:rPr>
        <w:t xml:space="preserve">županija, kapitalna sredstva – 11.5</w:t>
      </w:r>
      <w:r>
        <w:rPr>
          <w:sz w:val="22"/>
          <w:lang w:val="hr-HR"/>
        </w:rPr>
        <w:t xml:space="preserve">20,00 eura</w:t>
      </w:r>
    </w:p>
    <w:p w14:paraId="79611B20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Grad Knin – 1.0</w:t>
      </w:r>
      <w:r>
        <w:rPr>
          <w:sz w:val="22"/>
          <w:lang w:val="hr-HR"/>
        </w:rPr>
        <w:t xml:space="preserve">00,00 eura</w:t>
      </w:r>
    </w:p>
    <w:p w14:paraId="1D5A900A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Općina Kistanje – 5</w:t>
      </w:r>
      <w:r>
        <w:rPr>
          <w:sz w:val="22"/>
          <w:lang w:val="hr-HR"/>
        </w:rPr>
        <w:t xml:space="preserve">00,00 eura</w:t>
      </w:r>
    </w:p>
    <w:p w14:paraId="36549B63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Ostalo – </w:t>
      </w:r>
      <w:r>
        <w:rPr>
          <w:sz w:val="22"/>
          <w:lang w:val="hr-HR"/>
        </w:rPr>
        <w:t xml:space="preserve">35.229,11</w:t>
      </w:r>
      <w:r>
        <w:rPr>
          <w:sz w:val="22"/>
          <w:lang w:val="hr-HR"/>
        </w:rPr>
        <w:t xml:space="preserve"> eura</w:t>
      </w:r>
    </w:p>
    <w:p w14:paraId="66D9F0F1">
      <w:pPr>
        <w:spacing/>
        <w:rPr>
          <w:sz w:val="22"/>
          <w:lang w:val="hr-HR"/>
        </w:rPr>
      </w:pPr>
    </w:p>
    <w:p w14:paraId="51FD2E6F">
      <w:pPr>
        <w:spacing/>
        <w:rPr>
          <w:sz w:val="22"/>
          <w:lang w:val="hr-HR"/>
        </w:rPr>
      </w:pPr>
    </w:p>
    <w:p w14:paraId="78EB2CD7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Prihodi od Ministarstva znanosti i obrazovanja utrošeni su na isplatu redovnih plaća zatim regresa, dara za djecu, božićnice te ostalih materijalnih prava po kolektivnom ugovoru kao i za uslugu taxi prijevoza učenika s posebnim potrebama.</w:t>
      </w:r>
    </w:p>
    <w:p w14:paraId="7124301C">
      <w:pPr>
        <w:spacing/>
        <w:rPr>
          <w:sz w:val="22"/>
          <w:lang w:val="hr-HR"/>
        </w:rPr>
      </w:pPr>
    </w:p>
    <w:p w14:paraId="145693B1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Prihodi od Šibensko - kninske županije odnose se na decentralizirana  sredstva i sredstva po operativnom planu. Po operativnom planu nam je bilo dodijel</w:t>
      </w:r>
      <w:r>
        <w:rPr>
          <w:sz w:val="22"/>
          <w:lang w:val="hr-HR"/>
        </w:rPr>
        <w:t xml:space="preserve">jeno sredstava u iznosu od 1.650</w:t>
      </w:r>
      <w:r>
        <w:rPr>
          <w:sz w:val="22"/>
          <w:lang w:val="hr-HR"/>
        </w:rPr>
        <w:t xml:space="preserve">,00 eura koja smo utrošili na nabavu nastavnog materijala.</w:t>
      </w:r>
    </w:p>
    <w:p w14:paraId="586CA7F8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Kroz decentralizirana sredstva najviše je utrošeno na isplatu prijevoza djelatnika s</w:t>
      </w:r>
      <w:r>
        <w:rPr>
          <w:sz w:val="22"/>
          <w:lang w:val="hr-HR"/>
        </w:rPr>
        <w:t xml:space="preserve"> posla i na posao u iznosu od 57.934,49</w:t>
      </w:r>
      <w:r>
        <w:rPr>
          <w:sz w:val="22"/>
          <w:lang w:val="hr-HR"/>
        </w:rPr>
        <w:t xml:space="preserve"> eura.</w:t>
      </w:r>
    </w:p>
    <w:p w14:paraId="5B74B78C">
      <w:pPr>
        <w:spacing/>
        <w:rPr>
          <w:sz w:val="22"/>
          <w:lang w:val="hr-HR"/>
        </w:rPr>
      </w:pPr>
    </w:p>
    <w:p w14:paraId="27B269A0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Tijekom godine grad Knin</w:t>
      </w:r>
      <w:r>
        <w:rPr>
          <w:sz w:val="22"/>
          <w:lang w:val="hr-HR"/>
        </w:rPr>
        <w:t xml:space="preserve"> i općina Kistanje su uplatili sredstva u iznosu od 1.5</w:t>
      </w:r>
      <w:r>
        <w:rPr>
          <w:sz w:val="22"/>
          <w:lang w:val="hr-HR"/>
        </w:rPr>
        <w:t xml:space="preserve">00,00 eura. Sredstva su namijenjena za </w:t>
      </w:r>
      <w:r>
        <w:rPr>
          <w:sz w:val="22"/>
          <w:lang w:val="hr-HR"/>
        </w:rPr>
        <w:t xml:space="preserve">organizaciju međužupanijskog stručnog vijeća Turizam i ugostiteljstvo</w:t>
      </w:r>
      <w:r>
        <w:rPr>
          <w:sz w:val="22"/>
          <w:lang w:val="hr-HR"/>
        </w:rPr>
        <w:t xml:space="preserve">. Iz državnog proračuna su uplaćena sredstva u iznosu od </w:t>
      </w:r>
      <w:r>
        <w:rPr>
          <w:sz w:val="22"/>
          <w:lang w:val="hr-HR"/>
        </w:rPr>
        <w:t xml:space="preserve">2.233,93 eura za nabavu udžbenika te 440</w:t>
      </w:r>
      <w:r>
        <w:rPr>
          <w:sz w:val="22"/>
          <w:lang w:val="hr-HR"/>
        </w:rPr>
        <w:t xml:space="preserve">,00 eura za obvezne lektire.</w:t>
      </w:r>
    </w:p>
    <w:p w14:paraId="028AEAF5">
      <w:pPr>
        <w:spacing/>
        <w:rPr>
          <w:sz w:val="22"/>
          <w:lang w:val="hr-HR"/>
        </w:rPr>
      </w:pPr>
    </w:p>
    <w:p w14:paraId="26646597">
      <w:pPr>
        <w:spacing/>
        <w:rPr>
          <w:sz w:val="22"/>
          <w:lang w:val="hr-HR"/>
        </w:rPr>
      </w:pPr>
    </w:p>
    <w:p w14:paraId="749A0841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Rashodi za nabavu nefinancijske imovine vidljivi su u ćeliji 350 (Razred 4) u obrascu PR-RAS te su iznosili </w:t>
      </w:r>
      <w:r>
        <w:rPr>
          <w:sz w:val="22"/>
          <w:lang w:val="hr-HR"/>
        </w:rPr>
        <w:t xml:space="preserve">14.251,21</w:t>
      </w:r>
      <w:r>
        <w:rPr>
          <w:sz w:val="22"/>
          <w:lang w:val="hr-HR"/>
        </w:rPr>
        <w:t xml:space="preserve"> eura a odnosili su se na nabavu knjiga, računalne opreme</w:t>
      </w:r>
      <w:r>
        <w:rPr>
          <w:sz w:val="22"/>
          <w:lang w:val="hr-HR"/>
        </w:rPr>
        <w:t xml:space="preserve">, opreme za hlađenje i grijanje, traktora-kosilice</w:t>
      </w:r>
      <w:r>
        <w:rPr>
          <w:sz w:val="22"/>
          <w:lang w:val="hr-HR"/>
        </w:rPr>
        <w:t xml:space="preserve"> te udžbenika za djecu slabijeg imovinskog statusa.</w:t>
      </w:r>
    </w:p>
    <w:p w14:paraId="543B9182">
      <w:pPr>
        <w:spacing/>
        <w:rPr>
          <w:sz w:val="22"/>
          <w:lang w:val="hr-HR"/>
        </w:rPr>
      </w:pPr>
    </w:p>
    <w:p w14:paraId="0C4A17A6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U 2024</w:t>
      </w:r>
      <w:r>
        <w:rPr>
          <w:sz w:val="22"/>
          <w:lang w:val="hr-HR"/>
        </w:rPr>
        <w:t xml:space="preserve">. godini je školi ostalo neut</w:t>
      </w:r>
      <w:r>
        <w:rPr>
          <w:sz w:val="22"/>
          <w:lang w:val="hr-HR"/>
        </w:rPr>
        <w:t xml:space="preserve">rošenih sredstava u iznosu od 21.884,69</w:t>
      </w:r>
      <w:r>
        <w:rPr>
          <w:sz w:val="22"/>
          <w:lang w:val="hr-HR"/>
        </w:rPr>
        <w:t xml:space="preserve"> eura vidljivih u ćeliji bilance pod brojem 264 (dio 16 D) koja se nalaze na računu Šibensko-kninske županije, a</w:t>
      </w:r>
      <w:r>
        <w:rPr>
          <w:sz w:val="22"/>
          <w:lang w:val="hr-HR"/>
        </w:rPr>
        <w:t xml:space="preserve"> namjenski ćemo ih </w:t>
      </w:r>
      <w:r>
        <w:rPr>
          <w:sz w:val="22"/>
          <w:lang w:val="hr-HR"/>
        </w:rPr>
        <w:t xml:space="preserve">utrošiti </w:t>
      </w:r>
      <w:r>
        <w:rPr>
          <w:sz w:val="22"/>
          <w:lang w:val="hr-HR"/>
        </w:rPr>
        <w:t xml:space="preserve">u narednim razdobljima</w:t>
      </w:r>
      <w:r>
        <w:rPr>
          <w:sz w:val="22"/>
          <w:lang w:val="hr-HR"/>
        </w:rPr>
        <w:t xml:space="preserve">.</w:t>
      </w:r>
    </w:p>
    <w:p w14:paraId="1179F29B">
      <w:pPr>
        <w:spacing/>
        <w:rPr>
          <w:sz w:val="22"/>
          <w:lang w:val="hr-HR"/>
        </w:rPr>
      </w:pPr>
    </w:p>
    <w:p w14:paraId="0E5CD9BC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Izvještaj o promjenama u vrijednosti i obujmu imovine i obveza pokazuje nam unesenu </w:t>
      </w:r>
      <w:r>
        <w:rPr>
          <w:sz w:val="22"/>
          <w:lang w:val="hr-HR"/>
        </w:rPr>
        <w:t xml:space="preserve">povećanu </w:t>
      </w:r>
      <w:r>
        <w:rPr>
          <w:sz w:val="22"/>
          <w:lang w:val="hr-HR"/>
        </w:rPr>
        <w:t xml:space="preserve">vrijednost od </w:t>
      </w:r>
      <w:r>
        <w:rPr>
          <w:sz w:val="22"/>
          <w:lang w:val="hr-HR"/>
        </w:rPr>
        <w:t xml:space="preserve">59.659,61</w:t>
      </w:r>
      <w:r>
        <w:rPr>
          <w:sz w:val="22"/>
          <w:lang w:val="hr-HR"/>
        </w:rPr>
        <w:t xml:space="preserve"> eura iz razloga jer smo od </w:t>
      </w:r>
      <w:r>
        <w:rPr>
          <w:sz w:val="22"/>
          <w:lang w:val="hr-HR"/>
        </w:rPr>
        <w:t xml:space="preserve">Carneta</w:t>
      </w:r>
      <w:r>
        <w:rPr>
          <w:sz w:val="22"/>
          <w:lang w:val="hr-HR"/>
        </w:rPr>
        <w:t xml:space="preserve"> zaprimili </w:t>
      </w:r>
      <w:r>
        <w:rPr>
          <w:sz w:val="22"/>
          <w:lang w:val="hr-HR"/>
        </w:rPr>
        <w:t xml:space="preserve">odluku </w:t>
      </w:r>
      <w:r>
        <w:rPr>
          <w:sz w:val="22"/>
          <w:lang w:val="hr-HR"/>
        </w:rPr>
        <w:t xml:space="preserve">da se imovina u</w:t>
      </w:r>
      <w:r>
        <w:rPr>
          <w:sz w:val="22"/>
          <w:lang w:val="hr-HR"/>
        </w:rPr>
        <w:t xml:space="preserve"> 2024. godini </w:t>
      </w:r>
      <w:r>
        <w:rPr>
          <w:sz w:val="22"/>
          <w:lang w:val="hr-HR"/>
        </w:rPr>
        <w:t xml:space="preserve">uknjiži u vlasništvo škole. </w:t>
      </w:r>
    </w:p>
    <w:p w14:paraId="1B19C855">
      <w:pPr>
        <w:spacing/>
        <w:rPr>
          <w:sz w:val="22"/>
          <w:lang w:val="hr-HR"/>
        </w:rPr>
      </w:pPr>
    </w:p>
    <w:p w14:paraId="47271FD9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Izvještaj o rashodima prema funkcijskoj klasifikaciji nam pokazuje u ćeliji 120 (0922) ukupne rashode u iznosu od 1.</w:t>
      </w:r>
      <w:r>
        <w:rPr>
          <w:sz w:val="22"/>
          <w:lang w:val="hr-HR"/>
        </w:rPr>
        <w:t xml:space="preserve">604.333,35</w:t>
      </w:r>
      <w:r>
        <w:rPr>
          <w:sz w:val="22"/>
          <w:lang w:val="hr-HR"/>
        </w:rPr>
        <w:t xml:space="preserve"> eura, koji su također vidljivi i u obrascu PR-RAS u ćeliji 413 (Y034).</w:t>
      </w:r>
    </w:p>
    <w:p w14:paraId="42FD9FCC">
      <w:pPr>
        <w:spacing/>
        <w:rPr>
          <w:sz w:val="22"/>
          <w:lang w:val="hr-HR"/>
        </w:rPr>
      </w:pPr>
    </w:p>
    <w:p w14:paraId="16E83864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Na obrascu obveze prikazani su redovni režijski </w:t>
      </w:r>
      <w:r>
        <w:rPr>
          <w:sz w:val="22"/>
          <w:lang w:val="hr-HR"/>
        </w:rPr>
        <w:t xml:space="preserve">troškovi za mjesec prosinac 2024</w:t>
      </w:r>
      <w:r>
        <w:rPr>
          <w:sz w:val="22"/>
          <w:lang w:val="hr-HR"/>
        </w:rPr>
        <w:t xml:space="preserve">. godine, te redovna plaća</w:t>
      </w:r>
      <w:r>
        <w:rPr>
          <w:sz w:val="22"/>
          <w:lang w:val="hr-HR"/>
        </w:rPr>
        <w:t xml:space="preserve"> zaposlenika kao i pomoćnika u nastavi</w:t>
      </w:r>
      <w:r>
        <w:rPr>
          <w:sz w:val="22"/>
          <w:lang w:val="hr-HR"/>
        </w:rPr>
        <w:t xml:space="preserve"> i prije</w:t>
      </w:r>
      <w:r>
        <w:rPr>
          <w:sz w:val="22"/>
          <w:lang w:val="hr-HR"/>
        </w:rPr>
        <w:t xml:space="preserve">voz djelatnika za mjesec 12/2024</w:t>
      </w:r>
      <w:r>
        <w:rPr>
          <w:sz w:val="22"/>
          <w:lang w:val="hr-HR"/>
        </w:rPr>
        <w:t xml:space="preserve"> u iznosu od </w:t>
      </w:r>
      <w:r>
        <w:rPr>
          <w:sz w:val="22"/>
          <w:lang w:val="hr-HR"/>
        </w:rPr>
        <w:t xml:space="preserve">132.469,74</w:t>
      </w:r>
      <w:r>
        <w:rPr>
          <w:sz w:val="22"/>
          <w:lang w:val="hr-HR"/>
        </w:rPr>
        <w:t xml:space="preserve"> eura a koji su također vidljivi u ćeliji 287 (dio 23 D) bilance koji su knjiženi na konto 193 - rashodi budućeg razdoblja i vidljivi u obrascu PR – RAS u ćeliji 647 (19).</w:t>
      </w:r>
      <w:r>
        <w:rPr>
          <w:sz w:val="22"/>
          <w:lang w:val="hr-HR"/>
        </w:rPr>
        <w:t xml:space="preserve"> Iznos nepodmirenih računa od 5.026,90 € koji nisu evidentirani na konto 193 se odnosi na usluge prijevoza učenika s posebnim potrebama za mjesec studeni i prosinac 2024. godine, a koji će biti podmireni u 2025. godini uplatom iz državnog proračuna.</w:t>
      </w:r>
    </w:p>
    <w:p w14:paraId="65C821A7">
      <w:pPr>
        <w:spacing/>
        <w:rPr>
          <w:sz w:val="22"/>
          <w:lang w:val="hr-HR"/>
        </w:rPr>
      </w:pPr>
    </w:p>
    <w:p w14:paraId="49BFEEE4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Tijekom </w:t>
      </w:r>
      <w:r>
        <w:rPr>
          <w:sz w:val="22"/>
          <w:lang w:val="hr-HR"/>
        </w:rPr>
        <w:t xml:space="preserve">2024. godine</w:t>
      </w:r>
      <w:r>
        <w:rPr>
          <w:sz w:val="22"/>
          <w:lang w:val="hr-HR"/>
        </w:rPr>
        <w:t xml:space="preserve"> izvršena je korekcija financijskog rezultata (konto 92211 Višak prihoda poslovanja) zbog </w:t>
      </w:r>
      <w:r>
        <w:rPr>
          <w:sz w:val="22"/>
          <w:lang w:val="hr-HR"/>
        </w:rPr>
        <w:t xml:space="preserve">zatvaranja obveze</w:t>
      </w:r>
      <w:r>
        <w:rPr>
          <w:sz w:val="22"/>
          <w:lang w:val="hr-HR"/>
        </w:rPr>
        <w:t xml:space="preserve"> za računalne usluge iz prethodnih razdoblja</w:t>
      </w:r>
      <w:r>
        <w:rPr>
          <w:sz w:val="22"/>
          <w:lang w:val="hr-HR"/>
        </w:rPr>
        <w:t xml:space="preserve"> u iznosu 0,07 € te zatvaranja potraživanja od zaposlenih u iznosu od 0,48 €.</w:t>
      </w:r>
      <w:r>
        <w:rPr>
          <w:sz w:val="22"/>
          <w:lang w:val="hr-HR"/>
        </w:rPr>
        <w:t xml:space="preserve"> Također, izvršena je i obvezna korekcija rezultata za nabavu nefinancijske imovine u iznosu od 14.251,21 €.</w:t>
      </w:r>
    </w:p>
    <w:p w14:paraId="633C77E5">
      <w:pPr>
        <w:spacing/>
        <w:rPr>
          <w:sz w:val="22"/>
          <w:lang w:val="hr-HR"/>
        </w:rPr>
      </w:pPr>
    </w:p>
    <w:p w14:paraId="21D06895">
      <w:pPr>
        <w:spacing/>
        <w:rPr>
          <w:sz w:val="22"/>
          <w:lang w:val="hr-HR"/>
        </w:rPr>
      </w:pPr>
    </w:p>
    <w:p w14:paraId="5348CE2E">
      <w:pPr>
        <w:spacing/>
        <w:rPr>
          <w:sz w:val="22"/>
          <w:lang w:val="hr-HR"/>
        </w:rPr>
      </w:pPr>
    </w:p>
    <w:p w14:paraId="2B1AA170">
      <w:pPr>
        <w:spacing/>
        <w:rPr>
          <w:sz w:val="22"/>
          <w:lang w:val="hr-HR"/>
        </w:rPr>
      </w:pPr>
    </w:p>
    <w:p w14:paraId="37B020A7">
      <w:pPr>
        <w:spacing/>
        <w:rPr>
          <w:sz w:val="22"/>
          <w:lang w:val="hr-HR"/>
        </w:rPr>
      </w:pPr>
      <w:r>
        <w:rPr>
          <w:b/>
          <w:sz w:val="22"/>
          <w:lang w:val="hr-HR"/>
        </w:rPr>
        <w:t xml:space="preserve">Voditelj računovodstva</w:t>
      </w:r>
      <w:r>
        <w:rPr>
          <w:sz w:val="22"/>
          <w:lang w:val="hr-HR"/>
        </w:rPr>
        <w:t xml:space="preserve">                                                                                     </w:t>
      </w:r>
      <w:r>
        <w:rPr>
          <w:b/>
          <w:sz w:val="22"/>
          <w:lang w:val="hr-HR"/>
        </w:rPr>
        <w:t xml:space="preserve">Ravnatelj</w:t>
      </w:r>
      <w:r>
        <w:rPr>
          <w:sz w:val="22"/>
          <w:lang w:val="hr-HR"/>
        </w:rPr>
        <w:t xml:space="preserve">   </w:t>
      </w:r>
    </w:p>
    <w:p w14:paraId="7AE16DC6">
      <w:pPr>
        <w:spacing/>
        <w:rPr>
          <w:sz w:val="22"/>
          <w:lang w:val="hr-HR"/>
        </w:rPr>
      </w:pPr>
      <w:r>
        <w:rPr>
          <w:sz w:val="22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3D2D3B">
      <w:pPr>
        <w:spacing/>
        <w:rPr/>
      </w:pPr>
      <w:r>
        <w:rPr>
          <w:sz w:val="22"/>
          <w:lang w:val="hr-HR"/>
        </w:rPr>
        <w:t xml:space="preserve">         Josip Sarić                                                                                                   Milivoj Ilić                                                                                                  </w:t>
      </w:r>
    </w:p>
    <w:sectPr>
      <w:type w:val="nextPage"/>
      <w:pgSz w:w="11906" w:h="16838"/>
      <w:pgMar w:top="1440" w:right="1440" w:bottom="1440" w:left="1440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GB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2</Pages>
  <Words>873</Words>
  <Characters>4978</Characters>
  <Application>Microsoft Office Word</Application>
  <DocSecurity>0</DocSecurity>
  <Lines>41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Drazena</dc:creator>
  <cp:keywords/>
  <dc:description/>
  <cp:lastModifiedBy>Drazena</cp:lastModifiedBy>
  <cp:revision>2</cp:revision>
  <dcterms:created xsi:type="dcterms:W3CDTF">2025-01-29T09:51:00Z</dcterms:created>
  <dcterms:modified xsi:type="dcterms:W3CDTF">2025-01-29T09:51:00Z</dcterms:modified>
</cp:coreProperties>
</file>